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09F6" w14:textId="77777777" w:rsidR="00D00111" w:rsidRPr="00D00111" w:rsidRDefault="00773EDE" w:rsidP="00AE7BB4">
      <w:pPr>
        <w:rPr>
          <w:b/>
          <w:bCs/>
          <w:sz w:val="36"/>
          <w:szCs w:val="36"/>
        </w:rPr>
      </w:pPr>
      <w:r w:rsidRPr="00D00111">
        <w:rPr>
          <w:b/>
          <w:bCs/>
          <w:sz w:val="36"/>
          <w:szCs w:val="36"/>
        </w:rPr>
        <w:t xml:space="preserve">Experimental Protocol </w:t>
      </w:r>
    </w:p>
    <w:p w14:paraId="7239F0BA" w14:textId="46221D2C" w:rsidR="00A97110" w:rsidRDefault="00773EDE" w:rsidP="00AE7BB4">
      <w:r w:rsidRPr="00A97110">
        <w:rPr>
          <w:b/>
          <w:bCs/>
        </w:rPr>
        <w:t>Reconstitution &amp; Amplification</w:t>
      </w:r>
      <w:r>
        <w:t xml:space="preserve"> </w:t>
      </w:r>
    </w:p>
    <w:p w14:paraId="57E768E5" w14:textId="77777777" w:rsidR="008809EA" w:rsidRDefault="00773EDE" w:rsidP="00AE7BB4">
      <w:r>
        <w:t xml:space="preserve">The vector is provided as 10 ug lyophilized plasmid DNA. Reconstitute the DNA in 100 µL dH2O (final concentration 100 ng/µL). Transform 1 ul of the DNA using 20 ul of high efficiency competent E. coli cells (ideally 1x108 CFU/ug). Following transformation, resuspend cells in 200 </w:t>
      </w:r>
      <w:proofErr w:type="spellStart"/>
      <w:r>
        <w:t>uL</w:t>
      </w:r>
      <w:proofErr w:type="spellEnd"/>
      <w:r>
        <w:t xml:space="preserve"> LB media. Plate the entire transformation reaction on a standard LB-agar plate containing 25ug/ml kanamycin for PS100124 vector and 100ug/ml Ampicillin for PS100125 vector. Incubate at 37oC overnight. Pick at least 4-8 independent colonies to do mini-prep from each transformation. Confirm the insert by restriction digestion and/or vector primer sequencing. </w:t>
      </w:r>
    </w:p>
    <w:p w14:paraId="727DEF62" w14:textId="77777777" w:rsidR="008809EA" w:rsidRDefault="00773EDE" w:rsidP="00AE7BB4">
      <w:r>
        <w:t xml:space="preserve">*OriGene offers specific sequencing primers for PS100124 and PS100125 (CAT# PRIMER, including VP1.5 and XL39 primers). </w:t>
      </w:r>
    </w:p>
    <w:p w14:paraId="3D0F8709" w14:textId="77777777" w:rsidR="008809EA" w:rsidRPr="008809EA" w:rsidRDefault="00773EDE" w:rsidP="00AE7BB4">
      <w:pPr>
        <w:rPr>
          <w:b/>
          <w:bCs/>
        </w:rPr>
      </w:pPr>
      <w:r w:rsidRPr="008809EA">
        <w:rPr>
          <w:b/>
          <w:bCs/>
        </w:rPr>
        <w:t xml:space="preserve">Cloning of OriGene ORF into the Tet-ON inducible Vectors (PS100124 and PS100125) </w:t>
      </w:r>
    </w:p>
    <w:p w14:paraId="2A8536E8" w14:textId="77777777" w:rsidR="008809EA" w:rsidRDefault="00773EDE" w:rsidP="00AE7BB4">
      <w:r>
        <w:t>OriGene offers ORF clones for every human, mouse and rat genes in the pCMV6-Entry (CAT# PS100001) vector, which has compatible cloning sites with all-in-one Tet-ON inducible vectors (CAT# PS100124 or PS100125). To transfer the insert gene from OriGene’s ORF clone (donor) into the new inducible vector (recipient), choose the appropriate cloning sites and follow the general cut-and-paste subcloning protocols as below.</w:t>
      </w:r>
    </w:p>
    <w:p w14:paraId="75080960" w14:textId="68F8A942" w:rsidR="008809EA" w:rsidRDefault="00773EDE" w:rsidP="00CF2417">
      <w:pPr>
        <w:pStyle w:val="ListParagraph"/>
        <w:numPr>
          <w:ilvl w:val="0"/>
          <w:numId w:val="3"/>
        </w:numPr>
        <w:spacing w:after="0"/>
      </w:pPr>
      <w:r>
        <w:t xml:space="preserve">Digest the donor ORF </w:t>
      </w:r>
      <w:r w:rsidR="008809EA">
        <w:t>clone:</w:t>
      </w:r>
    </w:p>
    <w:p w14:paraId="268249B5" w14:textId="24EDA634" w:rsidR="00D00111" w:rsidRDefault="00D00111" w:rsidP="00D00111">
      <w:pPr>
        <w:spacing w:after="0"/>
      </w:pPr>
      <w:r>
        <w:t xml:space="preserve">   </w:t>
      </w:r>
    </w:p>
    <w:tbl>
      <w:tblPr>
        <w:tblStyle w:val="GridTable2-Accent6"/>
        <w:tblW w:w="9857" w:type="dxa"/>
        <w:tblLook w:val="04A0" w:firstRow="1" w:lastRow="0" w:firstColumn="1" w:lastColumn="0" w:noHBand="0" w:noVBand="1"/>
      </w:tblPr>
      <w:tblGrid>
        <w:gridCol w:w="4928"/>
        <w:gridCol w:w="4929"/>
      </w:tblGrid>
      <w:tr w:rsidR="00D00111" w14:paraId="522FCC83" w14:textId="77777777" w:rsidTr="00D00111">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928" w:type="dxa"/>
          </w:tcPr>
          <w:p w14:paraId="6AFB2040" w14:textId="4897FA8D" w:rsidR="00D00111" w:rsidRDefault="00D00111" w:rsidP="00D00111">
            <w:pPr>
              <w:jc w:val="center"/>
            </w:pPr>
            <w:r>
              <w:t>Components</w:t>
            </w:r>
          </w:p>
        </w:tc>
        <w:tc>
          <w:tcPr>
            <w:tcW w:w="4929" w:type="dxa"/>
          </w:tcPr>
          <w:p w14:paraId="3F1116DC" w14:textId="0973D1DC" w:rsidR="00D00111" w:rsidRDefault="00D00111" w:rsidP="00D00111">
            <w:pPr>
              <w:jc w:val="center"/>
              <w:cnfStyle w:val="100000000000" w:firstRow="1" w:lastRow="0" w:firstColumn="0" w:lastColumn="0" w:oddVBand="0" w:evenVBand="0" w:oddHBand="0" w:evenHBand="0" w:firstRowFirstColumn="0" w:firstRowLastColumn="0" w:lastRowFirstColumn="0" w:lastRowLastColumn="0"/>
            </w:pPr>
            <w:r>
              <w:t>Volume</w:t>
            </w:r>
          </w:p>
        </w:tc>
      </w:tr>
      <w:tr w:rsidR="00D00111" w14:paraId="6C912F62" w14:textId="77777777" w:rsidTr="00D0011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28" w:type="dxa"/>
          </w:tcPr>
          <w:p w14:paraId="0EC5A8AA" w14:textId="0B591A55" w:rsidR="00D00111" w:rsidRPr="00D00111" w:rsidRDefault="00D00111" w:rsidP="00D00111">
            <w:pPr>
              <w:jc w:val="center"/>
              <w:rPr>
                <w:b w:val="0"/>
                <w:bCs w:val="0"/>
              </w:rPr>
            </w:pPr>
            <w:r w:rsidRPr="00D00111">
              <w:rPr>
                <w:b w:val="0"/>
                <w:bCs w:val="0"/>
              </w:rPr>
              <w:t>10X restriction buffer</w:t>
            </w:r>
          </w:p>
        </w:tc>
        <w:tc>
          <w:tcPr>
            <w:tcW w:w="4929" w:type="dxa"/>
          </w:tcPr>
          <w:p w14:paraId="4FE44AE3" w14:textId="3B46A835" w:rsidR="00D00111" w:rsidRDefault="00D00111" w:rsidP="00D00111">
            <w:pPr>
              <w:jc w:val="center"/>
              <w:cnfStyle w:val="000000100000" w:firstRow="0" w:lastRow="0" w:firstColumn="0" w:lastColumn="0" w:oddVBand="0" w:evenVBand="0" w:oddHBand="1" w:evenHBand="0" w:firstRowFirstColumn="0" w:firstRowLastColumn="0" w:lastRowFirstColumn="0" w:lastRowLastColumn="0"/>
            </w:pPr>
            <w:r>
              <w:t>2 µl</w:t>
            </w:r>
          </w:p>
        </w:tc>
      </w:tr>
      <w:tr w:rsidR="00D00111" w14:paraId="3D3C51A2" w14:textId="77777777" w:rsidTr="00D00111">
        <w:trPr>
          <w:trHeight w:val="276"/>
        </w:trPr>
        <w:tc>
          <w:tcPr>
            <w:cnfStyle w:val="001000000000" w:firstRow="0" w:lastRow="0" w:firstColumn="1" w:lastColumn="0" w:oddVBand="0" w:evenVBand="0" w:oddHBand="0" w:evenHBand="0" w:firstRowFirstColumn="0" w:firstRowLastColumn="0" w:lastRowFirstColumn="0" w:lastRowLastColumn="0"/>
            <w:tcW w:w="4928" w:type="dxa"/>
          </w:tcPr>
          <w:p w14:paraId="18D3B060" w14:textId="2D5D2D70" w:rsidR="00D00111" w:rsidRPr="00D00111" w:rsidRDefault="00D00111" w:rsidP="00D00111">
            <w:pPr>
              <w:jc w:val="center"/>
              <w:rPr>
                <w:b w:val="0"/>
                <w:bCs w:val="0"/>
              </w:rPr>
            </w:pPr>
            <w:proofErr w:type="spellStart"/>
            <w:r w:rsidRPr="00D00111">
              <w:rPr>
                <w:b w:val="0"/>
                <w:bCs w:val="0"/>
              </w:rPr>
              <w:t>Sgf</w:t>
            </w:r>
            <w:proofErr w:type="spellEnd"/>
            <w:r w:rsidRPr="00D00111">
              <w:rPr>
                <w:b w:val="0"/>
                <w:bCs w:val="0"/>
              </w:rPr>
              <w:t xml:space="preserve"> I (10 U/</w:t>
            </w:r>
            <w:proofErr w:type="spellStart"/>
            <w:r w:rsidRPr="00D00111">
              <w:rPr>
                <w:b w:val="0"/>
                <w:bCs w:val="0"/>
              </w:rPr>
              <w:t>μl</w:t>
            </w:r>
            <w:proofErr w:type="spellEnd"/>
            <w:r w:rsidRPr="00D00111">
              <w:rPr>
                <w:b w:val="0"/>
                <w:bCs w:val="0"/>
              </w:rPr>
              <w:t>)</w:t>
            </w:r>
          </w:p>
        </w:tc>
        <w:tc>
          <w:tcPr>
            <w:tcW w:w="4929" w:type="dxa"/>
          </w:tcPr>
          <w:p w14:paraId="0C220A66" w14:textId="110A1EDF" w:rsidR="00D00111" w:rsidRDefault="00D00111" w:rsidP="00D00111">
            <w:pPr>
              <w:jc w:val="center"/>
              <w:cnfStyle w:val="000000000000" w:firstRow="0" w:lastRow="0" w:firstColumn="0" w:lastColumn="0" w:oddVBand="0" w:evenVBand="0" w:oddHBand="0" w:evenHBand="0" w:firstRowFirstColumn="0" w:firstRowLastColumn="0" w:lastRowFirstColumn="0" w:lastRowLastColumn="0"/>
            </w:pPr>
            <w:r>
              <w:t>0.6 µl</w:t>
            </w:r>
          </w:p>
        </w:tc>
      </w:tr>
      <w:tr w:rsidR="00D00111" w14:paraId="7B714F5F" w14:textId="77777777" w:rsidTr="00D0011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28" w:type="dxa"/>
          </w:tcPr>
          <w:p w14:paraId="4E14964F" w14:textId="52DAC49F" w:rsidR="00D00111" w:rsidRPr="00D00111" w:rsidRDefault="00D00111" w:rsidP="00D00111">
            <w:pPr>
              <w:jc w:val="center"/>
              <w:rPr>
                <w:b w:val="0"/>
                <w:bCs w:val="0"/>
              </w:rPr>
            </w:pPr>
            <w:proofErr w:type="spellStart"/>
            <w:r w:rsidRPr="00D00111">
              <w:rPr>
                <w:b w:val="0"/>
                <w:bCs w:val="0"/>
              </w:rPr>
              <w:t>Mlu</w:t>
            </w:r>
            <w:proofErr w:type="spellEnd"/>
            <w:r w:rsidRPr="00D00111">
              <w:rPr>
                <w:b w:val="0"/>
                <w:bCs w:val="0"/>
              </w:rPr>
              <w:t xml:space="preserve"> I (10 U/</w:t>
            </w:r>
            <w:proofErr w:type="spellStart"/>
            <w:r w:rsidRPr="00D00111">
              <w:rPr>
                <w:b w:val="0"/>
                <w:bCs w:val="0"/>
              </w:rPr>
              <w:t>μl</w:t>
            </w:r>
            <w:proofErr w:type="spellEnd"/>
            <w:r w:rsidRPr="00D00111">
              <w:rPr>
                <w:b w:val="0"/>
                <w:bCs w:val="0"/>
              </w:rPr>
              <w:t>)</w:t>
            </w:r>
          </w:p>
        </w:tc>
        <w:tc>
          <w:tcPr>
            <w:tcW w:w="4929" w:type="dxa"/>
          </w:tcPr>
          <w:p w14:paraId="06D7221B" w14:textId="3B26A8E4" w:rsidR="00D00111" w:rsidRDefault="00D00111" w:rsidP="00D00111">
            <w:pPr>
              <w:jc w:val="center"/>
              <w:cnfStyle w:val="000000100000" w:firstRow="0" w:lastRow="0" w:firstColumn="0" w:lastColumn="0" w:oddVBand="0" w:evenVBand="0" w:oddHBand="1" w:evenHBand="0" w:firstRowFirstColumn="0" w:firstRowLastColumn="0" w:lastRowFirstColumn="0" w:lastRowLastColumn="0"/>
            </w:pPr>
            <w:r>
              <w:t>0.6 µl</w:t>
            </w:r>
          </w:p>
        </w:tc>
      </w:tr>
      <w:tr w:rsidR="00D00111" w14:paraId="5F70EDDD" w14:textId="77777777" w:rsidTr="00D00111">
        <w:trPr>
          <w:trHeight w:val="276"/>
        </w:trPr>
        <w:tc>
          <w:tcPr>
            <w:cnfStyle w:val="001000000000" w:firstRow="0" w:lastRow="0" w:firstColumn="1" w:lastColumn="0" w:oddVBand="0" w:evenVBand="0" w:oddHBand="0" w:evenHBand="0" w:firstRowFirstColumn="0" w:firstRowLastColumn="0" w:lastRowFirstColumn="0" w:lastRowLastColumn="0"/>
            <w:tcW w:w="4928" w:type="dxa"/>
          </w:tcPr>
          <w:p w14:paraId="44FEF2A3" w14:textId="57A5CC65" w:rsidR="00D00111" w:rsidRPr="00D00111" w:rsidRDefault="00D00111" w:rsidP="00D00111">
            <w:pPr>
              <w:jc w:val="center"/>
              <w:rPr>
                <w:b w:val="0"/>
                <w:bCs w:val="0"/>
              </w:rPr>
            </w:pPr>
            <w:r w:rsidRPr="00D00111">
              <w:rPr>
                <w:b w:val="0"/>
                <w:bCs w:val="0"/>
              </w:rPr>
              <w:t>nuclease-free water</w:t>
            </w:r>
          </w:p>
        </w:tc>
        <w:tc>
          <w:tcPr>
            <w:tcW w:w="4929" w:type="dxa"/>
          </w:tcPr>
          <w:p w14:paraId="03AF2C43" w14:textId="2B424B66" w:rsidR="00D00111" w:rsidRDefault="00D00111" w:rsidP="00D00111">
            <w:pPr>
              <w:jc w:val="center"/>
              <w:cnfStyle w:val="000000000000" w:firstRow="0" w:lastRow="0" w:firstColumn="0" w:lastColumn="0" w:oddVBand="0" w:evenVBand="0" w:oddHBand="0" w:evenHBand="0" w:firstRowFirstColumn="0" w:firstRowLastColumn="0" w:lastRowFirstColumn="0" w:lastRowLastColumn="0"/>
            </w:pPr>
            <w:r>
              <w:t>13.8 µl</w:t>
            </w:r>
          </w:p>
        </w:tc>
      </w:tr>
      <w:tr w:rsidR="00D00111" w14:paraId="422C7901" w14:textId="77777777" w:rsidTr="00D0011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928" w:type="dxa"/>
          </w:tcPr>
          <w:p w14:paraId="0A6213FA" w14:textId="467C4765" w:rsidR="00D00111" w:rsidRPr="00D00111" w:rsidRDefault="00D00111" w:rsidP="00D00111">
            <w:pPr>
              <w:jc w:val="center"/>
              <w:rPr>
                <w:b w:val="0"/>
                <w:bCs w:val="0"/>
              </w:rPr>
            </w:pPr>
            <w:r w:rsidRPr="00D00111">
              <w:rPr>
                <w:b w:val="0"/>
                <w:bCs w:val="0"/>
              </w:rPr>
              <w:t>Donor ORF clone (200 ng)</w:t>
            </w:r>
          </w:p>
        </w:tc>
        <w:tc>
          <w:tcPr>
            <w:tcW w:w="4929" w:type="dxa"/>
          </w:tcPr>
          <w:p w14:paraId="6FA50561" w14:textId="6BE4C2AD" w:rsidR="00D00111" w:rsidRDefault="00D00111" w:rsidP="00D00111">
            <w:pPr>
              <w:jc w:val="center"/>
              <w:cnfStyle w:val="000000100000" w:firstRow="0" w:lastRow="0" w:firstColumn="0" w:lastColumn="0" w:oddVBand="0" w:evenVBand="0" w:oddHBand="1" w:evenHBand="0" w:firstRowFirstColumn="0" w:firstRowLastColumn="0" w:lastRowFirstColumn="0" w:lastRowLastColumn="0"/>
            </w:pPr>
            <w:r>
              <w:t>3 µ</w:t>
            </w:r>
          </w:p>
        </w:tc>
      </w:tr>
      <w:tr w:rsidR="00D00111" w14:paraId="5238F77A" w14:textId="77777777" w:rsidTr="00D00111">
        <w:trPr>
          <w:trHeight w:val="276"/>
        </w:trPr>
        <w:tc>
          <w:tcPr>
            <w:cnfStyle w:val="001000000000" w:firstRow="0" w:lastRow="0" w:firstColumn="1" w:lastColumn="0" w:oddVBand="0" w:evenVBand="0" w:oddHBand="0" w:evenHBand="0" w:firstRowFirstColumn="0" w:firstRowLastColumn="0" w:lastRowFirstColumn="0" w:lastRowLastColumn="0"/>
            <w:tcW w:w="4928" w:type="dxa"/>
          </w:tcPr>
          <w:p w14:paraId="3F2B01B7" w14:textId="4748F5FA" w:rsidR="00D00111" w:rsidRDefault="00D00111" w:rsidP="00D00111">
            <w:pPr>
              <w:jc w:val="center"/>
            </w:pPr>
            <w:r>
              <w:t>Total volume</w:t>
            </w:r>
          </w:p>
        </w:tc>
        <w:tc>
          <w:tcPr>
            <w:tcW w:w="4929" w:type="dxa"/>
          </w:tcPr>
          <w:p w14:paraId="6FEDA7F6" w14:textId="046745B1" w:rsidR="00D00111" w:rsidRPr="00D00111" w:rsidRDefault="00D00111" w:rsidP="00D00111">
            <w:pPr>
              <w:jc w:val="center"/>
              <w:cnfStyle w:val="000000000000" w:firstRow="0" w:lastRow="0" w:firstColumn="0" w:lastColumn="0" w:oddVBand="0" w:evenVBand="0" w:oddHBand="0" w:evenHBand="0" w:firstRowFirstColumn="0" w:firstRowLastColumn="0" w:lastRowFirstColumn="0" w:lastRowLastColumn="0"/>
              <w:rPr>
                <w:b/>
                <w:bCs/>
              </w:rPr>
            </w:pPr>
            <w:r w:rsidRPr="00D00111">
              <w:rPr>
                <w:b/>
                <w:bCs/>
              </w:rPr>
              <w:t>20 µl</w:t>
            </w:r>
          </w:p>
        </w:tc>
      </w:tr>
    </w:tbl>
    <w:p w14:paraId="4C0DED8F" w14:textId="77777777" w:rsidR="00D00111" w:rsidRDefault="00D00111" w:rsidP="00D00111">
      <w:pPr>
        <w:spacing w:after="0"/>
      </w:pPr>
    </w:p>
    <w:p w14:paraId="639881FC" w14:textId="08E9508D" w:rsidR="008809EA" w:rsidRDefault="00773EDE" w:rsidP="00CF2417">
      <w:pPr>
        <w:spacing w:after="0"/>
        <w:ind w:left="360"/>
      </w:pPr>
      <w:r>
        <w:t xml:space="preserve"> </w:t>
      </w:r>
    </w:p>
    <w:p w14:paraId="0B115F42" w14:textId="77777777" w:rsidR="008809EA" w:rsidRDefault="00773EDE" w:rsidP="008809EA">
      <w:pPr>
        <w:ind w:left="360"/>
      </w:pPr>
      <w:r>
        <w:t>Incubate at 37o C for 3 hrs.</w:t>
      </w:r>
    </w:p>
    <w:p w14:paraId="200D806C" w14:textId="6D6E1CB4" w:rsidR="00D00111" w:rsidRDefault="00773EDE" w:rsidP="00D00111">
      <w:pPr>
        <w:pStyle w:val="ListParagraph"/>
        <w:numPr>
          <w:ilvl w:val="0"/>
          <w:numId w:val="3"/>
        </w:numPr>
      </w:pPr>
      <w:r>
        <w:t xml:space="preserve">Digest the inducible Tet-ON destination vector: </w:t>
      </w:r>
    </w:p>
    <w:tbl>
      <w:tblPr>
        <w:tblStyle w:val="GridTable2-Accent6"/>
        <w:tblW w:w="9901" w:type="dxa"/>
        <w:tblLook w:val="04A0" w:firstRow="1" w:lastRow="0" w:firstColumn="1" w:lastColumn="0" w:noHBand="0" w:noVBand="1"/>
      </w:tblPr>
      <w:tblGrid>
        <w:gridCol w:w="4950"/>
        <w:gridCol w:w="4951"/>
      </w:tblGrid>
      <w:tr w:rsidR="00D00111" w14:paraId="7070B195" w14:textId="77777777" w:rsidTr="00D0011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950" w:type="dxa"/>
          </w:tcPr>
          <w:p w14:paraId="41046435" w14:textId="77777777" w:rsidR="00D00111" w:rsidRDefault="00D00111" w:rsidP="00057171">
            <w:pPr>
              <w:jc w:val="center"/>
            </w:pPr>
            <w:r>
              <w:t>Components</w:t>
            </w:r>
          </w:p>
        </w:tc>
        <w:tc>
          <w:tcPr>
            <w:tcW w:w="4951" w:type="dxa"/>
          </w:tcPr>
          <w:p w14:paraId="60852F33" w14:textId="77777777" w:rsidR="00D00111" w:rsidRDefault="00D00111" w:rsidP="00057171">
            <w:pPr>
              <w:jc w:val="center"/>
              <w:cnfStyle w:val="100000000000" w:firstRow="1" w:lastRow="0" w:firstColumn="0" w:lastColumn="0" w:oddVBand="0" w:evenVBand="0" w:oddHBand="0" w:evenHBand="0" w:firstRowFirstColumn="0" w:firstRowLastColumn="0" w:lastRowFirstColumn="0" w:lastRowLastColumn="0"/>
            </w:pPr>
            <w:r>
              <w:t>Volume</w:t>
            </w:r>
          </w:p>
        </w:tc>
      </w:tr>
      <w:tr w:rsidR="00D00111" w14:paraId="3C9A39A0" w14:textId="77777777" w:rsidTr="00D0011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950" w:type="dxa"/>
          </w:tcPr>
          <w:p w14:paraId="2E599D36" w14:textId="77777777" w:rsidR="00D00111" w:rsidRPr="00D00111" w:rsidRDefault="00D00111" w:rsidP="00057171">
            <w:pPr>
              <w:jc w:val="center"/>
              <w:rPr>
                <w:b w:val="0"/>
                <w:bCs w:val="0"/>
              </w:rPr>
            </w:pPr>
            <w:r w:rsidRPr="00D00111">
              <w:rPr>
                <w:b w:val="0"/>
                <w:bCs w:val="0"/>
              </w:rPr>
              <w:t>10X restriction buffer</w:t>
            </w:r>
          </w:p>
        </w:tc>
        <w:tc>
          <w:tcPr>
            <w:tcW w:w="4951" w:type="dxa"/>
          </w:tcPr>
          <w:p w14:paraId="3EF0F2AA" w14:textId="77777777" w:rsidR="00D00111" w:rsidRDefault="00D00111" w:rsidP="00057171">
            <w:pPr>
              <w:jc w:val="center"/>
              <w:cnfStyle w:val="000000100000" w:firstRow="0" w:lastRow="0" w:firstColumn="0" w:lastColumn="0" w:oddVBand="0" w:evenVBand="0" w:oddHBand="1" w:evenHBand="0" w:firstRowFirstColumn="0" w:firstRowLastColumn="0" w:lastRowFirstColumn="0" w:lastRowLastColumn="0"/>
            </w:pPr>
            <w:r>
              <w:t>2 µl</w:t>
            </w:r>
          </w:p>
        </w:tc>
      </w:tr>
      <w:tr w:rsidR="00D00111" w14:paraId="479E5CD7" w14:textId="77777777" w:rsidTr="00D00111">
        <w:trPr>
          <w:trHeight w:val="390"/>
        </w:trPr>
        <w:tc>
          <w:tcPr>
            <w:cnfStyle w:val="001000000000" w:firstRow="0" w:lastRow="0" w:firstColumn="1" w:lastColumn="0" w:oddVBand="0" w:evenVBand="0" w:oddHBand="0" w:evenHBand="0" w:firstRowFirstColumn="0" w:firstRowLastColumn="0" w:lastRowFirstColumn="0" w:lastRowLastColumn="0"/>
            <w:tcW w:w="4950" w:type="dxa"/>
          </w:tcPr>
          <w:p w14:paraId="03A18F1D" w14:textId="77777777" w:rsidR="00D00111" w:rsidRPr="00D00111" w:rsidRDefault="00D00111" w:rsidP="00057171">
            <w:pPr>
              <w:jc w:val="center"/>
              <w:rPr>
                <w:b w:val="0"/>
                <w:bCs w:val="0"/>
              </w:rPr>
            </w:pPr>
            <w:proofErr w:type="spellStart"/>
            <w:r w:rsidRPr="00D00111">
              <w:rPr>
                <w:b w:val="0"/>
                <w:bCs w:val="0"/>
              </w:rPr>
              <w:t>Sgf</w:t>
            </w:r>
            <w:proofErr w:type="spellEnd"/>
            <w:r w:rsidRPr="00D00111">
              <w:rPr>
                <w:b w:val="0"/>
                <w:bCs w:val="0"/>
              </w:rPr>
              <w:t xml:space="preserve"> I (10 U/</w:t>
            </w:r>
            <w:proofErr w:type="spellStart"/>
            <w:r w:rsidRPr="00D00111">
              <w:rPr>
                <w:b w:val="0"/>
                <w:bCs w:val="0"/>
              </w:rPr>
              <w:t>μl</w:t>
            </w:r>
            <w:proofErr w:type="spellEnd"/>
            <w:r w:rsidRPr="00D00111">
              <w:rPr>
                <w:b w:val="0"/>
                <w:bCs w:val="0"/>
              </w:rPr>
              <w:t>)</w:t>
            </w:r>
          </w:p>
        </w:tc>
        <w:tc>
          <w:tcPr>
            <w:tcW w:w="4951" w:type="dxa"/>
          </w:tcPr>
          <w:p w14:paraId="67FBF2CC" w14:textId="77777777" w:rsidR="00D00111" w:rsidRDefault="00D00111" w:rsidP="00057171">
            <w:pPr>
              <w:jc w:val="center"/>
              <w:cnfStyle w:val="000000000000" w:firstRow="0" w:lastRow="0" w:firstColumn="0" w:lastColumn="0" w:oddVBand="0" w:evenVBand="0" w:oddHBand="0" w:evenHBand="0" w:firstRowFirstColumn="0" w:firstRowLastColumn="0" w:lastRowFirstColumn="0" w:lastRowLastColumn="0"/>
            </w:pPr>
            <w:r>
              <w:t>0.6 µl</w:t>
            </w:r>
          </w:p>
        </w:tc>
      </w:tr>
      <w:tr w:rsidR="00D00111" w14:paraId="5A209400" w14:textId="77777777" w:rsidTr="00D0011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950" w:type="dxa"/>
          </w:tcPr>
          <w:p w14:paraId="215C910E" w14:textId="77777777" w:rsidR="00D00111" w:rsidRPr="00D00111" w:rsidRDefault="00D00111" w:rsidP="00057171">
            <w:pPr>
              <w:jc w:val="center"/>
              <w:rPr>
                <w:b w:val="0"/>
                <w:bCs w:val="0"/>
              </w:rPr>
            </w:pPr>
            <w:proofErr w:type="spellStart"/>
            <w:r w:rsidRPr="00D00111">
              <w:rPr>
                <w:b w:val="0"/>
                <w:bCs w:val="0"/>
              </w:rPr>
              <w:t>Mlu</w:t>
            </w:r>
            <w:proofErr w:type="spellEnd"/>
            <w:r w:rsidRPr="00D00111">
              <w:rPr>
                <w:b w:val="0"/>
                <w:bCs w:val="0"/>
              </w:rPr>
              <w:t xml:space="preserve"> I (10 U/</w:t>
            </w:r>
            <w:proofErr w:type="spellStart"/>
            <w:r w:rsidRPr="00D00111">
              <w:rPr>
                <w:b w:val="0"/>
                <w:bCs w:val="0"/>
              </w:rPr>
              <w:t>μl</w:t>
            </w:r>
            <w:proofErr w:type="spellEnd"/>
            <w:r w:rsidRPr="00D00111">
              <w:rPr>
                <w:b w:val="0"/>
                <w:bCs w:val="0"/>
              </w:rPr>
              <w:t>)</w:t>
            </w:r>
          </w:p>
        </w:tc>
        <w:tc>
          <w:tcPr>
            <w:tcW w:w="4951" w:type="dxa"/>
          </w:tcPr>
          <w:p w14:paraId="77357D9B" w14:textId="77777777" w:rsidR="00D00111" w:rsidRDefault="00D00111" w:rsidP="00057171">
            <w:pPr>
              <w:jc w:val="center"/>
              <w:cnfStyle w:val="000000100000" w:firstRow="0" w:lastRow="0" w:firstColumn="0" w:lastColumn="0" w:oddVBand="0" w:evenVBand="0" w:oddHBand="1" w:evenHBand="0" w:firstRowFirstColumn="0" w:firstRowLastColumn="0" w:lastRowFirstColumn="0" w:lastRowLastColumn="0"/>
            </w:pPr>
            <w:r>
              <w:t>0.6 µl</w:t>
            </w:r>
          </w:p>
        </w:tc>
      </w:tr>
      <w:tr w:rsidR="00D00111" w14:paraId="56D2EB2F" w14:textId="77777777" w:rsidTr="00D00111">
        <w:trPr>
          <w:trHeight w:val="390"/>
        </w:trPr>
        <w:tc>
          <w:tcPr>
            <w:cnfStyle w:val="001000000000" w:firstRow="0" w:lastRow="0" w:firstColumn="1" w:lastColumn="0" w:oddVBand="0" w:evenVBand="0" w:oddHBand="0" w:evenHBand="0" w:firstRowFirstColumn="0" w:firstRowLastColumn="0" w:lastRowFirstColumn="0" w:lastRowLastColumn="0"/>
            <w:tcW w:w="4950" w:type="dxa"/>
          </w:tcPr>
          <w:p w14:paraId="2EDAA509" w14:textId="77777777" w:rsidR="00D00111" w:rsidRPr="00D00111" w:rsidRDefault="00D00111" w:rsidP="00057171">
            <w:pPr>
              <w:jc w:val="center"/>
              <w:rPr>
                <w:b w:val="0"/>
                <w:bCs w:val="0"/>
              </w:rPr>
            </w:pPr>
            <w:r w:rsidRPr="00D00111">
              <w:rPr>
                <w:b w:val="0"/>
                <w:bCs w:val="0"/>
              </w:rPr>
              <w:t>nuclease-free water</w:t>
            </w:r>
          </w:p>
        </w:tc>
        <w:tc>
          <w:tcPr>
            <w:tcW w:w="4951" w:type="dxa"/>
          </w:tcPr>
          <w:p w14:paraId="14FA065D" w14:textId="77777777" w:rsidR="00D00111" w:rsidRDefault="00D00111" w:rsidP="00057171">
            <w:pPr>
              <w:jc w:val="center"/>
              <w:cnfStyle w:val="000000000000" w:firstRow="0" w:lastRow="0" w:firstColumn="0" w:lastColumn="0" w:oddVBand="0" w:evenVBand="0" w:oddHBand="0" w:evenHBand="0" w:firstRowFirstColumn="0" w:firstRowLastColumn="0" w:lastRowFirstColumn="0" w:lastRowLastColumn="0"/>
            </w:pPr>
            <w:r>
              <w:t>13.8 µl</w:t>
            </w:r>
          </w:p>
        </w:tc>
      </w:tr>
      <w:tr w:rsidR="00D00111" w14:paraId="4F251024" w14:textId="77777777" w:rsidTr="00D0011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950" w:type="dxa"/>
          </w:tcPr>
          <w:p w14:paraId="74955C43" w14:textId="15C56BB9" w:rsidR="00D00111" w:rsidRPr="00D00111" w:rsidRDefault="00D00111" w:rsidP="00057171">
            <w:pPr>
              <w:jc w:val="center"/>
              <w:rPr>
                <w:b w:val="0"/>
                <w:bCs w:val="0"/>
              </w:rPr>
            </w:pPr>
            <w:r w:rsidRPr="00D00111">
              <w:rPr>
                <w:b w:val="0"/>
                <w:bCs w:val="0"/>
              </w:rPr>
              <w:t>Tet-ON destination Vector</w:t>
            </w:r>
            <w:r w:rsidRPr="00D00111">
              <w:rPr>
                <w:b w:val="0"/>
                <w:bCs w:val="0"/>
              </w:rPr>
              <w:t xml:space="preserve"> (200 ng)</w:t>
            </w:r>
          </w:p>
        </w:tc>
        <w:tc>
          <w:tcPr>
            <w:tcW w:w="4951" w:type="dxa"/>
          </w:tcPr>
          <w:p w14:paraId="21016FA7" w14:textId="77777777" w:rsidR="00D00111" w:rsidRDefault="00D00111" w:rsidP="00057171">
            <w:pPr>
              <w:jc w:val="center"/>
              <w:cnfStyle w:val="000000100000" w:firstRow="0" w:lastRow="0" w:firstColumn="0" w:lastColumn="0" w:oddVBand="0" w:evenVBand="0" w:oddHBand="1" w:evenHBand="0" w:firstRowFirstColumn="0" w:firstRowLastColumn="0" w:lastRowFirstColumn="0" w:lastRowLastColumn="0"/>
            </w:pPr>
            <w:r>
              <w:t>3 µ</w:t>
            </w:r>
          </w:p>
        </w:tc>
      </w:tr>
      <w:tr w:rsidR="00D00111" w14:paraId="6996ED6E" w14:textId="77777777" w:rsidTr="00D00111">
        <w:trPr>
          <w:trHeight w:val="390"/>
        </w:trPr>
        <w:tc>
          <w:tcPr>
            <w:cnfStyle w:val="001000000000" w:firstRow="0" w:lastRow="0" w:firstColumn="1" w:lastColumn="0" w:oddVBand="0" w:evenVBand="0" w:oddHBand="0" w:evenHBand="0" w:firstRowFirstColumn="0" w:firstRowLastColumn="0" w:lastRowFirstColumn="0" w:lastRowLastColumn="0"/>
            <w:tcW w:w="4950" w:type="dxa"/>
          </w:tcPr>
          <w:p w14:paraId="5BE910F0" w14:textId="77777777" w:rsidR="00D00111" w:rsidRDefault="00D00111" w:rsidP="00057171">
            <w:pPr>
              <w:jc w:val="center"/>
            </w:pPr>
            <w:r>
              <w:t>Total volume</w:t>
            </w:r>
          </w:p>
        </w:tc>
        <w:tc>
          <w:tcPr>
            <w:tcW w:w="4951" w:type="dxa"/>
          </w:tcPr>
          <w:p w14:paraId="173BBB8E" w14:textId="77777777" w:rsidR="00D00111" w:rsidRPr="00D00111" w:rsidRDefault="00D00111" w:rsidP="00057171">
            <w:pPr>
              <w:jc w:val="center"/>
              <w:cnfStyle w:val="000000000000" w:firstRow="0" w:lastRow="0" w:firstColumn="0" w:lastColumn="0" w:oddVBand="0" w:evenVBand="0" w:oddHBand="0" w:evenHBand="0" w:firstRowFirstColumn="0" w:firstRowLastColumn="0" w:lastRowFirstColumn="0" w:lastRowLastColumn="0"/>
              <w:rPr>
                <w:b/>
                <w:bCs/>
              </w:rPr>
            </w:pPr>
            <w:r w:rsidRPr="00D00111">
              <w:rPr>
                <w:b/>
                <w:bCs/>
              </w:rPr>
              <w:t>20 µl</w:t>
            </w:r>
          </w:p>
        </w:tc>
      </w:tr>
    </w:tbl>
    <w:p w14:paraId="629C8E05" w14:textId="77777777" w:rsidR="00D00111" w:rsidRDefault="00773EDE" w:rsidP="00D00111">
      <w:pPr>
        <w:ind w:left="360"/>
      </w:pPr>
      <w:r>
        <w:lastRenderedPageBreak/>
        <w:t xml:space="preserve">* For the 4% of the clones that have internal </w:t>
      </w:r>
      <w:proofErr w:type="spellStart"/>
      <w:r>
        <w:t>Sgf</w:t>
      </w:r>
      <w:proofErr w:type="spellEnd"/>
      <w:r>
        <w:t xml:space="preserve"> I or </w:t>
      </w:r>
      <w:proofErr w:type="spellStart"/>
      <w:r>
        <w:t>Mlu</w:t>
      </w:r>
      <w:proofErr w:type="spellEnd"/>
      <w:r>
        <w:t xml:space="preserve"> I sties, please use the appropriate combination of restriction sites as recommended by OriGene</w:t>
      </w:r>
      <w:r w:rsidR="00D00111">
        <w:t>.</w:t>
      </w:r>
    </w:p>
    <w:p w14:paraId="5D7D8194" w14:textId="2B014F94" w:rsidR="008809EA" w:rsidRDefault="00773EDE" w:rsidP="00D00111">
      <w:pPr>
        <w:ind w:left="360"/>
      </w:pPr>
      <w:r>
        <w:t xml:space="preserve">Incubate at 37oC for 3 hrs. Add 0.5 </w:t>
      </w:r>
      <w:proofErr w:type="spellStart"/>
      <w:r>
        <w:t>μl</w:t>
      </w:r>
      <w:proofErr w:type="spellEnd"/>
      <w:r>
        <w:t xml:space="preserve"> </w:t>
      </w:r>
      <w:proofErr w:type="spellStart"/>
      <w:r>
        <w:t>antarctic</w:t>
      </w:r>
      <w:proofErr w:type="spellEnd"/>
      <w:r>
        <w:t xml:space="preserve"> phosphatase (units used according to the manufacturer’s protocol) to the digestion, and continue to incubate at 37oC for an additional 30 minutes. </w:t>
      </w:r>
    </w:p>
    <w:p w14:paraId="79303A28" w14:textId="77777777" w:rsidR="008809EA" w:rsidRDefault="00773EDE" w:rsidP="008809EA">
      <w:pPr>
        <w:ind w:left="360"/>
      </w:pPr>
      <w:r>
        <w:t>3. Purify the digestion using a commercial PCR purification column and elute in 20 ul 10 mM Tris.</w:t>
      </w:r>
    </w:p>
    <w:p w14:paraId="51763534" w14:textId="77777777" w:rsidR="00D00111" w:rsidRDefault="00773EDE" w:rsidP="008809EA">
      <w:pPr>
        <w:ind w:left="360"/>
      </w:pPr>
      <w:r>
        <w:t>4. Set up a ligation reaction:</w:t>
      </w:r>
    </w:p>
    <w:tbl>
      <w:tblPr>
        <w:tblStyle w:val="GridTable2-Accent6"/>
        <w:tblW w:w="9694" w:type="dxa"/>
        <w:tblLook w:val="04A0" w:firstRow="1" w:lastRow="0" w:firstColumn="1" w:lastColumn="0" w:noHBand="0" w:noVBand="1"/>
      </w:tblPr>
      <w:tblGrid>
        <w:gridCol w:w="4847"/>
        <w:gridCol w:w="4847"/>
      </w:tblGrid>
      <w:tr w:rsidR="00D00111" w14:paraId="541492DB" w14:textId="77777777" w:rsidTr="007D329E">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847" w:type="dxa"/>
          </w:tcPr>
          <w:p w14:paraId="3C516299" w14:textId="32F7B6E7" w:rsidR="00D00111" w:rsidRDefault="00D00111" w:rsidP="007D329E">
            <w:pPr>
              <w:jc w:val="center"/>
            </w:pPr>
            <w:r>
              <w:t>Components</w:t>
            </w:r>
          </w:p>
        </w:tc>
        <w:tc>
          <w:tcPr>
            <w:tcW w:w="4847" w:type="dxa"/>
          </w:tcPr>
          <w:p w14:paraId="19405549" w14:textId="17529973" w:rsidR="00D00111" w:rsidRDefault="00D00111" w:rsidP="007D329E">
            <w:pPr>
              <w:jc w:val="center"/>
              <w:cnfStyle w:val="100000000000" w:firstRow="1" w:lastRow="0" w:firstColumn="0" w:lastColumn="0" w:oddVBand="0" w:evenVBand="0" w:oddHBand="0" w:evenHBand="0" w:firstRowFirstColumn="0" w:firstRowLastColumn="0" w:lastRowFirstColumn="0" w:lastRowLastColumn="0"/>
            </w:pPr>
            <w:r>
              <w:t>Volume</w:t>
            </w:r>
          </w:p>
        </w:tc>
      </w:tr>
      <w:tr w:rsidR="00D00111" w14:paraId="76CE0217" w14:textId="77777777" w:rsidTr="007D329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847" w:type="dxa"/>
          </w:tcPr>
          <w:p w14:paraId="3452C462" w14:textId="1B753234" w:rsidR="00D00111" w:rsidRPr="007D329E" w:rsidRDefault="00D00111" w:rsidP="007D329E">
            <w:pPr>
              <w:jc w:val="center"/>
              <w:rPr>
                <w:b w:val="0"/>
                <w:bCs w:val="0"/>
              </w:rPr>
            </w:pPr>
            <w:r w:rsidRPr="007D329E">
              <w:rPr>
                <w:b w:val="0"/>
                <w:bCs w:val="0"/>
              </w:rPr>
              <w:t>10X T4 DNA ligation buffer</w:t>
            </w:r>
          </w:p>
        </w:tc>
        <w:tc>
          <w:tcPr>
            <w:tcW w:w="4847" w:type="dxa"/>
          </w:tcPr>
          <w:p w14:paraId="6644C1DC" w14:textId="41014B2C" w:rsidR="00D00111" w:rsidRPr="007D329E" w:rsidRDefault="007D329E" w:rsidP="007D329E">
            <w:pPr>
              <w:jc w:val="center"/>
              <w:cnfStyle w:val="000000100000" w:firstRow="0" w:lastRow="0" w:firstColumn="0" w:lastColumn="0" w:oddVBand="0" w:evenVBand="0" w:oddHBand="1" w:evenHBand="0" w:firstRowFirstColumn="0" w:firstRowLastColumn="0" w:lastRowFirstColumn="0" w:lastRowLastColumn="0"/>
            </w:pPr>
            <w:r w:rsidRPr="007D329E">
              <w:t>1 µl</w:t>
            </w:r>
          </w:p>
        </w:tc>
      </w:tr>
      <w:tr w:rsidR="00D00111" w14:paraId="4C5D11B9" w14:textId="77777777" w:rsidTr="007D329E">
        <w:trPr>
          <w:trHeight w:val="493"/>
        </w:trPr>
        <w:tc>
          <w:tcPr>
            <w:cnfStyle w:val="001000000000" w:firstRow="0" w:lastRow="0" w:firstColumn="1" w:lastColumn="0" w:oddVBand="0" w:evenVBand="0" w:oddHBand="0" w:evenHBand="0" w:firstRowFirstColumn="0" w:firstRowLastColumn="0" w:lastRowFirstColumn="0" w:lastRowLastColumn="0"/>
            <w:tcW w:w="4847" w:type="dxa"/>
          </w:tcPr>
          <w:p w14:paraId="58331F25" w14:textId="7E028047" w:rsidR="00D00111" w:rsidRPr="007D329E" w:rsidRDefault="00D00111" w:rsidP="007D329E">
            <w:pPr>
              <w:jc w:val="center"/>
              <w:rPr>
                <w:b w:val="0"/>
                <w:bCs w:val="0"/>
              </w:rPr>
            </w:pPr>
            <w:r w:rsidRPr="007D329E">
              <w:rPr>
                <w:b w:val="0"/>
                <w:bCs w:val="0"/>
              </w:rPr>
              <w:t xml:space="preserve">T4 DNA Ligase (4U/ </w:t>
            </w:r>
            <w:r w:rsidRPr="007D329E">
              <w:rPr>
                <w:b w:val="0"/>
                <w:bCs w:val="0"/>
              </w:rPr>
              <w:t>µl</w:t>
            </w:r>
            <w:r w:rsidRPr="007D329E">
              <w:rPr>
                <w:b w:val="0"/>
                <w:bCs w:val="0"/>
              </w:rPr>
              <w:t>)</w:t>
            </w:r>
          </w:p>
        </w:tc>
        <w:tc>
          <w:tcPr>
            <w:tcW w:w="4847" w:type="dxa"/>
          </w:tcPr>
          <w:p w14:paraId="3C3EB2C5" w14:textId="6FCD1816" w:rsidR="00D00111" w:rsidRPr="007D329E" w:rsidRDefault="007D329E" w:rsidP="007D329E">
            <w:pPr>
              <w:jc w:val="center"/>
              <w:cnfStyle w:val="000000000000" w:firstRow="0" w:lastRow="0" w:firstColumn="0" w:lastColumn="0" w:oddVBand="0" w:evenVBand="0" w:oddHBand="0" w:evenHBand="0" w:firstRowFirstColumn="0" w:firstRowLastColumn="0" w:lastRowFirstColumn="0" w:lastRowLastColumn="0"/>
            </w:pPr>
            <w:r w:rsidRPr="007D329E">
              <w:t>0.75 µl</w:t>
            </w:r>
          </w:p>
        </w:tc>
      </w:tr>
      <w:tr w:rsidR="00D00111" w14:paraId="12267124" w14:textId="77777777" w:rsidTr="007D329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847" w:type="dxa"/>
          </w:tcPr>
          <w:p w14:paraId="297DBE1A" w14:textId="776BF4CD" w:rsidR="00D00111" w:rsidRPr="007D329E" w:rsidRDefault="00D00111" w:rsidP="007D329E">
            <w:pPr>
              <w:jc w:val="center"/>
              <w:rPr>
                <w:b w:val="0"/>
                <w:bCs w:val="0"/>
              </w:rPr>
            </w:pPr>
            <w:r w:rsidRPr="007D329E">
              <w:rPr>
                <w:b w:val="0"/>
                <w:bCs w:val="0"/>
              </w:rPr>
              <w:t>Nuclease-free water</w:t>
            </w:r>
          </w:p>
        </w:tc>
        <w:tc>
          <w:tcPr>
            <w:tcW w:w="4847" w:type="dxa"/>
          </w:tcPr>
          <w:p w14:paraId="57F2A164" w14:textId="19712DB0" w:rsidR="00D00111" w:rsidRPr="007D329E" w:rsidRDefault="007D329E" w:rsidP="007D329E">
            <w:pPr>
              <w:jc w:val="center"/>
              <w:cnfStyle w:val="000000100000" w:firstRow="0" w:lastRow="0" w:firstColumn="0" w:lastColumn="0" w:oddVBand="0" w:evenVBand="0" w:oddHBand="1" w:evenHBand="0" w:firstRowFirstColumn="0" w:firstRowLastColumn="0" w:lastRowFirstColumn="0" w:lastRowLastColumn="0"/>
            </w:pPr>
            <w:r w:rsidRPr="007D329E">
              <w:t>3.25 µl</w:t>
            </w:r>
          </w:p>
        </w:tc>
      </w:tr>
      <w:tr w:rsidR="00D00111" w14:paraId="5994C48C" w14:textId="77777777" w:rsidTr="007D329E">
        <w:trPr>
          <w:trHeight w:val="520"/>
        </w:trPr>
        <w:tc>
          <w:tcPr>
            <w:cnfStyle w:val="001000000000" w:firstRow="0" w:lastRow="0" w:firstColumn="1" w:lastColumn="0" w:oddVBand="0" w:evenVBand="0" w:oddHBand="0" w:evenHBand="0" w:firstRowFirstColumn="0" w:firstRowLastColumn="0" w:lastRowFirstColumn="0" w:lastRowLastColumn="0"/>
            <w:tcW w:w="4847" w:type="dxa"/>
          </w:tcPr>
          <w:p w14:paraId="67CF368F" w14:textId="15F1FDDD" w:rsidR="00D00111" w:rsidRPr="007D329E" w:rsidRDefault="00D00111" w:rsidP="007D329E">
            <w:pPr>
              <w:jc w:val="center"/>
              <w:rPr>
                <w:b w:val="0"/>
                <w:bCs w:val="0"/>
              </w:rPr>
            </w:pPr>
            <w:r w:rsidRPr="007D329E">
              <w:rPr>
                <w:b w:val="0"/>
                <w:bCs w:val="0"/>
              </w:rPr>
              <w:t>Digested DNA from Step 1 (ORF clone)</w:t>
            </w:r>
          </w:p>
        </w:tc>
        <w:tc>
          <w:tcPr>
            <w:tcW w:w="4847" w:type="dxa"/>
          </w:tcPr>
          <w:p w14:paraId="136D0CE7" w14:textId="61312F48" w:rsidR="00D00111" w:rsidRPr="007D329E" w:rsidRDefault="007D329E" w:rsidP="007D329E">
            <w:pPr>
              <w:jc w:val="center"/>
              <w:cnfStyle w:val="000000000000" w:firstRow="0" w:lastRow="0" w:firstColumn="0" w:lastColumn="0" w:oddVBand="0" w:evenVBand="0" w:oddHBand="0" w:evenHBand="0" w:firstRowFirstColumn="0" w:firstRowLastColumn="0" w:lastRowFirstColumn="0" w:lastRowLastColumn="0"/>
            </w:pPr>
            <w:r w:rsidRPr="007D329E">
              <w:t>2 µl</w:t>
            </w:r>
          </w:p>
        </w:tc>
      </w:tr>
      <w:tr w:rsidR="00D00111" w14:paraId="5EE7553A" w14:textId="77777777" w:rsidTr="007D329E">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847" w:type="dxa"/>
          </w:tcPr>
          <w:p w14:paraId="3B450567" w14:textId="26C0BC04" w:rsidR="00D00111" w:rsidRPr="007D329E" w:rsidRDefault="00D00111" w:rsidP="007D329E">
            <w:pPr>
              <w:jc w:val="center"/>
              <w:rPr>
                <w:b w:val="0"/>
                <w:bCs w:val="0"/>
              </w:rPr>
            </w:pPr>
            <w:r w:rsidRPr="007D329E">
              <w:rPr>
                <w:b w:val="0"/>
                <w:bCs w:val="0"/>
              </w:rPr>
              <w:t>Digested DNA from Step 2 (Tet-ON vector)</w:t>
            </w:r>
          </w:p>
        </w:tc>
        <w:tc>
          <w:tcPr>
            <w:tcW w:w="4847" w:type="dxa"/>
          </w:tcPr>
          <w:p w14:paraId="61ED1263" w14:textId="5EE636FF" w:rsidR="00D00111" w:rsidRPr="007D329E" w:rsidRDefault="007D329E" w:rsidP="007D329E">
            <w:pPr>
              <w:jc w:val="center"/>
              <w:cnfStyle w:val="000000100000" w:firstRow="0" w:lastRow="0" w:firstColumn="0" w:lastColumn="0" w:oddVBand="0" w:evenVBand="0" w:oddHBand="1" w:evenHBand="0" w:firstRowFirstColumn="0" w:firstRowLastColumn="0" w:lastRowFirstColumn="0" w:lastRowLastColumn="0"/>
            </w:pPr>
            <w:r w:rsidRPr="007D329E">
              <w:t>3 µl</w:t>
            </w:r>
          </w:p>
        </w:tc>
      </w:tr>
      <w:tr w:rsidR="00D00111" w14:paraId="59BEF6E9" w14:textId="77777777" w:rsidTr="007D329E">
        <w:trPr>
          <w:trHeight w:val="493"/>
        </w:trPr>
        <w:tc>
          <w:tcPr>
            <w:cnfStyle w:val="001000000000" w:firstRow="0" w:lastRow="0" w:firstColumn="1" w:lastColumn="0" w:oddVBand="0" w:evenVBand="0" w:oddHBand="0" w:evenHBand="0" w:firstRowFirstColumn="0" w:firstRowLastColumn="0" w:lastRowFirstColumn="0" w:lastRowLastColumn="0"/>
            <w:tcW w:w="4847" w:type="dxa"/>
          </w:tcPr>
          <w:p w14:paraId="6BBD762C" w14:textId="56D57D82" w:rsidR="00D00111" w:rsidRDefault="007D329E" w:rsidP="007D329E">
            <w:pPr>
              <w:jc w:val="center"/>
            </w:pPr>
            <w:r>
              <w:t>Total Volume</w:t>
            </w:r>
          </w:p>
        </w:tc>
        <w:tc>
          <w:tcPr>
            <w:tcW w:w="4847" w:type="dxa"/>
          </w:tcPr>
          <w:p w14:paraId="5E6B6999" w14:textId="5F58FC12" w:rsidR="00D00111" w:rsidRPr="007D329E" w:rsidRDefault="007D329E" w:rsidP="007D329E">
            <w:pPr>
              <w:jc w:val="center"/>
              <w:cnfStyle w:val="000000000000" w:firstRow="0" w:lastRow="0" w:firstColumn="0" w:lastColumn="0" w:oddVBand="0" w:evenVBand="0" w:oddHBand="0" w:evenHBand="0" w:firstRowFirstColumn="0" w:firstRowLastColumn="0" w:lastRowFirstColumn="0" w:lastRowLastColumn="0"/>
              <w:rPr>
                <w:b/>
                <w:bCs/>
              </w:rPr>
            </w:pPr>
            <w:r w:rsidRPr="007D329E">
              <w:rPr>
                <w:b/>
                <w:bCs/>
              </w:rPr>
              <w:t>10 µl</w:t>
            </w:r>
          </w:p>
        </w:tc>
      </w:tr>
    </w:tbl>
    <w:p w14:paraId="52112BCC" w14:textId="77777777" w:rsidR="007D329E" w:rsidRDefault="007D329E" w:rsidP="007D329E"/>
    <w:p w14:paraId="1B5F6E10" w14:textId="69A41CD9" w:rsidR="008809EA" w:rsidRDefault="007D329E" w:rsidP="007D329E">
      <w:r>
        <w:t xml:space="preserve">       </w:t>
      </w:r>
      <w:r w:rsidR="00773EDE">
        <w:t xml:space="preserve">5. Incubate the ligation reaction at room temperature for 1 hour.  </w:t>
      </w:r>
    </w:p>
    <w:p w14:paraId="05346110" w14:textId="77777777" w:rsidR="008809EA" w:rsidRDefault="00773EDE" w:rsidP="008809EA">
      <w:pPr>
        <w:ind w:left="360"/>
      </w:pPr>
      <w:r>
        <w:t xml:space="preserve">6. Transform the ligation reaction into high-efficiency, competent E. coli cells (≥ 1×108 CFU/µg DNA) following the appropriate transformation protocol. Plate the transformants on LB-agar plates supplemented with either 100 µg/ml ampicillin for PS100125 or 25 </w:t>
      </w:r>
      <w:proofErr w:type="spellStart"/>
      <w:r>
        <w:t>μg</w:t>
      </w:r>
      <w:proofErr w:type="spellEnd"/>
      <w:r>
        <w:t xml:space="preserve">/ml kanamycin for PS100124. </w:t>
      </w:r>
    </w:p>
    <w:p w14:paraId="443A0AC1" w14:textId="77777777" w:rsidR="008809EA" w:rsidRDefault="00773EDE" w:rsidP="008809EA">
      <w:pPr>
        <w:ind w:left="360"/>
      </w:pPr>
      <w:r>
        <w:t>7. Pick at least four colonies for subsequent DNA purification and screening. Amplify and purify the selected clone(s) by growing overnight in liquid LB containing the corresponding antibiotics (ampicillin or Kanamycin), then isolating the DNA using standard plasmid purification procedures.</w:t>
      </w:r>
    </w:p>
    <w:p w14:paraId="66B735DC" w14:textId="77777777" w:rsidR="008809EA" w:rsidRDefault="00773EDE" w:rsidP="008809EA">
      <w:pPr>
        <w:ind w:left="360"/>
      </w:pPr>
      <w:r>
        <w:t>8. Confirm the insert by restriction digestion and/or vector primer sequencing using the provided V1.5 for 5’ end sequencing and XL39 for 3’ end sequencing.</w:t>
      </w:r>
    </w:p>
    <w:p w14:paraId="3B46F312" w14:textId="2BE7BD33" w:rsidR="008809EA" w:rsidRPr="008809EA" w:rsidRDefault="00773EDE" w:rsidP="008809EA">
      <w:pPr>
        <w:ind w:left="360"/>
        <w:rPr>
          <w:b/>
          <w:bCs/>
        </w:rPr>
      </w:pPr>
      <w:r w:rsidRPr="008809EA">
        <w:rPr>
          <w:b/>
          <w:bCs/>
        </w:rPr>
        <w:t xml:space="preserve">Cloning of ORFs into Inducible Tet-ON vector (PS100124 and PS100125) using PCR Amplification </w:t>
      </w:r>
    </w:p>
    <w:p w14:paraId="0EDCB167" w14:textId="54E96189" w:rsidR="008809EA" w:rsidRDefault="00773EDE" w:rsidP="008809EA">
      <w:pPr>
        <w:ind w:left="360"/>
      </w:pPr>
      <w:r>
        <w:t xml:space="preserve">The ORF sequence can be PCR amplified and cloned into the inducible Tet-On vectors (PS100124 and PS100125). In order to append cloning sites to the 5’ and 3’ ends of the ORF sequence, you need to add the target sequences of the selected restriction enzymes to the forward and reverse PCR primers; examples are shown below. </w:t>
      </w:r>
    </w:p>
    <w:p w14:paraId="184FA069" w14:textId="41C9953D" w:rsidR="007D329E" w:rsidRDefault="007D329E" w:rsidP="008809EA">
      <w:pPr>
        <w:ind w:left="360"/>
      </w:pPr>
    </w:p>
    <w:p w14:paraId="6D6F2EBB" w14:textId="5D60B983" w:rsidR="007D329E" w:rsidRDefault="007D329E" w:rsidP="008809EA">
      <w:pPr>
        <w:ind w:left="360"/>
      </w:pPr>
    </w:p>
    <w:p w14:paraId="62B9C0E9" w14:textId="77777777" w:rsidR="007D329E" w:rsidRDefault="007D329E" w:rsidP="008809EA">
      <w:pPr>
        <w:ind w:left="360"/>
      </w:pPr>
    </w:p>
    <w:p w14:paraId="494DC289" w14:textId="77777777" w:rsidR="008809EA" w:rsidRDefault="00773EDE" w:rsidP="008809EA">
      <w:pPr>
        <w:spacing w:after="0"/>
        <w:ind w:left="360"/>
      </w:pPr>
      <w:r>
        <w:lastRenderedPageBreak/>
        <w:t xml:space="preserve">Forward primer with </w:t>
      </w:r>
      <w:proofErr w:type="spellStart"/>
      <w:r>
        <w:t>Sgf</w:t>
      </w:r>
      <w:proofErr w:type="spellEnd"/>
      <w:r>
        <w:t xml:space="preserve"> I </w:t>
      </w:r>
    </w:p>
    <w:p w14:paraId="21E89F34" w14:textId="77777777" w:rsidR="008809EA" w:rsidRDefault="00773EDE" w:rsidP="008809EA">
      <w:pPr>
        <w:spacing w:after="0"/>
        <w:ind w:left="360"/>
      </w:pPr>
      <w:r>
        <w:t xml:space="preserve">5’ GAGGCGATCGCCNNNNNNNNNNNNNNNNNNNNNNN 3’ </w:t>
      </w:r>
    </w:p>
    <w:p w14:paraId="7DE61B2D" w14:textId="77777777" w:rsidR="008809EA" w:rsidRDefault="00773EDE" w:rsidP="008809EA">
      <w:pPr>
        <w:ind w:left="360"/>
      </w:pPr>
      <w:r>
        <w:t xml:space="preserve">Ns represent the sequence of the ORF beginning with the start codon, ATG. It is important to add the additional “C” base after the </w:t>
      </w:r>
      <w:proofErr w:type="spellStart"/>
      <w:r>
        <w:t>Sgf</w:t>
      </w:r>
      <w:proofErr w:type="spellEnd"/>
      <w:r>
        <w:t xml:space="preserve"> I site to maintain appropriate reading frames with N-terminal tags in some destination vectors. </w:t>
      </w:r>
    </w:p>
    <w:p w14:paraId="3CA6D3CD" w14:textId="77777777" w:rsidR="008809EA" w:rsidRDefault="00773EDE" w:rsidP="008809EA">
      <w:pPr>
        <w:spacing w:after="0"/>
        <w:ind w:left="360"/>
      </w:pPr>
      <w:r>
        <w:t xml:space="preserve">Reverse primer with </w:t>
      </w:r>
      <w:proofErr w:type="spellStart"/>
      <w:r>
        <w:t>Mlu</w:t>
      </w:r>
      <w:proofErr w:type="spellEnd"/>
      <w:r>
        <w:t xml:space="preserve"> I </w:t>
      </w:r>
    </w:p>
    <w:p w14:paraId="28D6F2AA" w14:textId="77777777" w:rsidR="008809EA" w:rsidRDefault="00773EDE" w:rsidP="008809EA">
      <w:pPr>
        <w:spacing w:after="0"/>
        <w:ind w:left="360"/>
      </w:pPr>
      <w:r>
        <w:t xml:space="preserve">5’ GCGACGCGTNNNNNNNNNNNNNNNNNNNNNNNN 3’ </w:t>
      </w:r>
    </w:p>
    <w:p w14:paraId="76B634ED" w14:textId="77777777" w:rsidR="008809EA" w:rsidRDefault="00773EDE" w:rsidP="008809EA">
      <w:pPr>
        <w:ind w:left="360"/>
      </w:pPr>
      <w:r>
        <w:t xml:space="preserve">Ns represent the reverse complement of the ORF sequence starting with the stop codon for N-terminally tagged or untagged destination vectors. This ensures that the expressed fusion protein will end at the native C-terminal end of the ORF. For C-terminally tagged vectors, the reverse complement of the ORF sequence should start with the second-to-last codon, as the stop codon must be removed to generate a fusion protein. </w:t>
      </w:r>
    </w:p>
    <w:p w14:paraId="31FA43CB" w14:textId="69079551" w:rsidR="008809EA" w:rsidRDefault="00773EDE" w:rsidP="008809EA">
      <w:pPr>
        <w:ind w:left="360"/>
      </w:pPr>
      <w:r>
        <w:t xml:space="preserve">If the recognition sites for </w:t>
      </w:r>
      <w:proofErr w:type="spellStart"/>
      <w:r>
        <w:t>Sgf</w:t>
      </w:r>
      <w:proofErr w:type="spellEnd"/>
      <w:r>
        <w:t xml:space="preserve"> I or </w:t>
      </w:r>
      <w:proofErr w:type="spellStart"/>
      <w:r>
        <w:t>Mlu</w:t>
      </w:r>
      <w:proofErr w:type="spellEnd"/>
      <w:r>
        <w:t xml:space="preserve"> I are present internally in the ORF, another rare cutter such as </w:t>
      </w:r>
      <w:proofErr w:type="spellStart"/>
      <w:r>
        <w:t>Asc</w:t>
      </w:r>
      <w:proofErr w:type="spellEnd"/>
      <w:r>
        <w:t xml:space="preserve"> I, </w:t>
      </w:r>
      <w:proofErr w:type="spellStart"/>
      <w:r>
        <w:t>Rsr</w:t>
      </w:r>
      <w:proofErr w:type="spellEnd"/>
      <w:r>
        <w:t xml:space="preserve"> II or Not I can be used in the cloning strategy. In these cases, the sequences of these alternate restriction sites should be used in place of </w:t>
      </w:r>
      <w:proofErr w:type="spellStart"/>
      <w:r>
        <w:t>Sgf</w:t>
      </w:r>
      <w:proofErr w:type="spellEnd"/>
      <w:r>
        <w:t xml:space="preserve"> I and/or </w:t>
      </w:r>
      <w:proofErr w:type="spellStart"/>
      <w:r>
        <w:t>Mlu</w:t>
      </w:r>
      <w:proofErr w:type="spellEnd"/>
      <w:r>
        <w:t xml:space="preserve"> I (examples below). This same primer design strategy described above should be used for the design of other primers. The Ns in the forward primer represent the sequence of the ORF beginning with the start codon, ATG. The Ns in the reverse primers represent the reverse complement of the ORF sequence starting with the stop codon for N- terminally tagged or untagged destination vectors, or starting with the second- to-last codon for C</w:t>
      </w:r>
      <w:r w:rsidR="008809EA">
        <w:t>-</w:t>
      </w:r>
      <w:r>
        <w:t>terminally tagged vectors.</w:t>
      </w:r>
    </w:p>
    <w:p w14:paraId="30F1CA2C" w14:textId="77777777" w:rsidR="005F5A59" w:rsidRDefault="00773EDE" w:rsidP="005F5A59">
      <w:pPr>
        <w:spacing w:after="0"/>
        <w:ind w:left="360"/>
      </w:pPr>
      <w:r>
        <w:t xml:space="preserve">Forward primer with </w:t>
      </w:r>
      <w:proofErr w:type="spellStart"/>
      <w:r>
        <w:t>Asc</w:t>
      </w:r>
      <w:proofErr w:type="spellEnd"/>
      <w:r>
        <w:t xml:space="preserve"> I:</w:t>
      </w:r>
    </w:p>
    <w:p w14:paraId="03002CC5" w14:textId="77777777" w:rsidR="005F5A59" w:rsidRDefault="00773EDE" w:rsidP="005F5A59">
      <w:pPr>
        <w:spacing w:after="0"/>
        <w:ind w:left="360"/>
      </w:pPr>
      <w:r>
        <w:t>5’ GCCGGCGCGCCANNNNNNNNNNNNNNNNNNNNNNN 3’</w:t>
      </w:r>
    </w:p>
    <w:p w14:paraId="4F124CA2" w14:textId="43EF3A37" w:rsidR="005F5A59" w:rsidRDefault="00773EDE" w:rsidP="005F5A59">
      <w:pPr>
        <w:spacing w:after="0"/>
        <w:ind w:left="360"/>
      </w:pPr>
      <w:r>
        <w:t xml:space="preserve">An extra nucleotide after </w:t>
      </w:r>
      <w:proofErr w:type="spellStart"/>
      <w:r>
        <w:t>Asc</w:t>
      </w:r>
      <w:proofErr w:type="spellEnd"/>
      <w:r>
        <w:t xml:space="preserve"> I is important to maintain reading frames with N- terminal tags in some destination vectors.</w:t>
      </w:r>
    </w:p>
    <w:p w14:paraId="4B993BA7" w14:textId="77777777" w:rsidR="005F5A59" w:rsidRDefault="005F5A59" w:rsidP="005F5A59">
      <w:pPr>
        <w:spacing w:after="0"/>
        <w:ind w:left="360"/>
      </w:pPr>
    </w:p>
    <w:p w14:paraId="181ADEBD" w14:textId="77777777" w:rsidR="005F5A59" w:rsidRDefault="00773EDE" w:rsidP="005F5A59">
      <w:pPr>
        <w:spacing w:after="0"/>
        <w:ind w:left="360"/>
      </w:pPr>
      <w:r>
        <w:t xml:space="preserve">Reverse primer with </w:t>
      </w:r>
      <w:proofErr w:type="spellStart"/>
      <w:r>
        <w:t>Rsr</w:t>
      </w:r>
      <w:proofErr w:type="spellEnd"/>
      <w:r>
        <w:t xml:space="preserve"> II: </w:t>
      </w:r>
    </w:p>
    <w:p w14:paraId="74FB2AF6" w14:textId="77777777" w:rsidR="005F5A59" w:rsidRDefault="00773EDE" w:rsidP="005F5A59">
      <w:pPr>
        <w:spacing w:after="0"/>
        <w:ind w:left="360"/>
      </w:pPr>
      <w:r>
        <w:t>5’ GCGTCGGTCCGCTNNNNNNNNNNNNNNNNNNNNNNNN 3’</w:t>
      </w:r>
    </w:p>
    <w:p w14:paraId="5306E587" w14:textId="40FEA1BC" w:rsidR="005F5A59" w:rsidRDefault="00773EDE" w:rsidP="005F5A59">
      <w:pPr>
        <w:spacing w:after="0"/>
        <w:ind w:left="360"/>
      </w:pPr>
      <w:r>
        <w:t xml:space="preserve">Extra nucleotides after </w:t>
      </w:r>
      <w:proofErr w:type="spellStart"/>
      <w:r>
        <w:t>Rsr</w:t>
      </w:r>
      <w:proofErr w:type="spellEnd"/>
      <w:r>
        <w:t xml:space="preserve"> II are important to maintain appropriate reading frames with C-terminal tags in some destination vectors. </w:t>
      </w:r>
    </w:p>
    <w:p w14:paraId="038F8E14" w14:textId="77777777" w:rsidR="005F5A59" w:rsidRDefault="005F5A59" w:rsidP="005F5A59">
      <w:pPr>
        <w:spacing w:after="0"/>
        <w:ind w:left="360"/>
      </w:pPr>
    </w:p>
    <w:p w14:paraId="54B50E9E" w14:textId="77777777" w:rsidR="005F5A59" w:rsidRDefault="00773EDE" w:rsidP="005F5A59">
      <w:pPr>
        <w:spacing w:after="0"/>
        <w:ind w:left="360"/>
      </w:pPr>
      <w:r>
        <w:t xml:space="preserve">Reverse primer with Not I: </w:t>
      </w:r>
    </w:p>
    <w:p w14:paraId="7F98BE63" w14:textId="77777777" w:rsidR="005F5A59" w:rsidRDefault="00773EDE" w:rsidP="005F5A59">
      <w:pPr>
        <w:spacing w:after="0"/>
        <w:ind w:left="360"/>
      </w:pPr>
      <w:r>
        <w:t xml:space="preserve">5’ GCGACGCGGCCGCGTACGCGTNNNNNNNNNNNNNNNNNNNNNNNN 3’ </w:t>
      </w:r>
    </w:p>
    <w:p w14:paraId="4BDC474B" w14:textId="77777777" w:rsidR="005F5A59" w:rsidRDefault="00773EDE" w:rsidP="005F5A59">
      <w:pPr>
        <w:spacing w:after="0"/>
        <w:ind w:left="360"/>
      </w:pPr>
      <w:proofErr w:type="spellStart"/>
      <w:r>
        <w:t>Mlu</w:t>
      </w:r>
      <w:proofErr w:type="spellEnd"/>
      <w:r>
        <w:t xml:space="preserve"> I </w:t>
      </w:r>
      <w:proofErr w:type="gramStart"/>
      <w:r>
        <w:t>is</w:t>
      </w:r>
      <w:proofErr w:type="gramEnd"/>
      <w:r>
        <w:t xml:space="preserve"> also added for downstream subcloning.</w:t>
      </w:r>
    </w:p>
    <w:p w14:paraId="32F4B0FF" w14:textId="77777777" w:rsidR="005F5A59" w:rsidRDefault="005F5A59" w:rsidP="005F5A59">
      <w:pPr>
        <w:spacing w:after="0"/>
        <w:ind w:left="360"/>
      </w:pPr>
    </w:p>
    <w:p w14:paraId="6CF64810" w14:textId="77777777" w:rsidR="005F5A59" w:rsidRDefault="00773EDE" w:rsidP="005F5A59">
      <w:pPr>
        <w:spacing w:after="0"/>
        <w:ind w:left="360"/>
      </w:pPr>
      <w:r>
        <w:t>We recommend using a full-length cDNA clone as the template for ORF cloning. The success rate is low when a cDNA pool is used as the template for a PCR cloning reaction. When the GC content of an ORF (or a region of the ORF longer than 100 bp) is above 75%, a special PCR buffer with DMSO or other additive should be used to increase the success rate. The recommended PCR polymerase and buffer are available from New England Biolabs (</w:t>
      </w:r>
      <w:proofErr w:type="spellStart"/>
      <w:r>
        <w:t>Phusion™High-Fidelity</w:t>
      </w:r>
      <w:proofErr w:type="spellEnd"/>
      <w:r>
        <w:t xml:space="preserve"> PCR Kit, F-553S).</w:t>
      </w:r>
    </w:p>
    <w:p w14:paraId="4CDAD49E" w14:textId="77777777" w:rsidR="005F5A59" w:rsidRDefault="005F5A59" w:rsidP="005F5A59">
      <w:pPr>
        <w:spacing w:after="0"/>
        <w:ind w:left="360"/>
      </w:pPr>
    </w:p>
    <w:p w14:paraId="7D76492F" w14:textId="77777777" w:rsidR="007D329E" w:rsidRDefault="007D329E" w:rsidP="005F5A59">
      <w:pPr>
        <w:spacing w:after="0"/>
        <w:ind w:left="360"/>
        <w:rPr>
          <w:b/>
          <w:bCs/>
        </w:rPr>
      </w:pPr>
    </w:p>
    <w:p w14:paraId="36E2AFAF" w14:textId="77777777" w:rsidR="007D329E" w:rsidRDefault="007D329E" w:rsidP="005F5A59">
      <w:pPr>
        <w:spacing w:after="0"/>
        <w:ind w:left="360"/>
        <w:rPr>
          <w:b/>
          <w:bCs/>
        </w:rPr>
      </w:pPr>
    </w:p>
    <w:p w14:paraId="4649C4F8" w14:textId="77777777" w:rsidR="007D329E" w:rsidRDefault="007D329E" w:rsidP="005F5A59">
      <w:pPr>
        <w:spacing w:after="0"/>
        <w:ind w:left="360"/>
        <w:rPr>
          <w:b/>
          <w:bCs/>
        </w:rPr>
      </w:pPr>
    </w:p>
    <w:p w14:paraId="75B694F5" w14:textId="317A9242" w:rsidR="005F5A59" w:rsidRPr="005F5A59" w:rsidRDefault="00773EDE" w:rsidP="005F5A59">
      <w:pPr>
        <w:spacing w:after="0"/>
        <w:ind w:left="360"/>
        <w:rPr>
          <w:b/>
          <w:bCs/>
        </w:rPr>
      </w:pPr>
      <w:r w:rsidRPr="005F5A59">
        <w:rPr>
          <w:b/>
          <w:bCs/>
        </w:rPr>
        <w:lastRenderedPageBreak/>
        <w:t>PCR reaction setup:</w:t>
      </w:r>
    </w:p>
    <w:p w14:paraId="017962AC" w14:textId="77777777" w:rsidR="005F5A59" w:rsidRDefault="005F5A59" w:rsidP="005F5A59">
      <w:pPr>
        <w:spacing w:after="0"/>
        <w:ind w:left="360"/>
      </w:pPr>
    </w:p>
    <w:tbl>
      <w:tblPr>
        <w:tblStyle w:val="GridTable2-Accent6"/>
        <w:tblW w:w="9740" w:type="dxa"/>
        <w:tblLook w:val="04A0" w:firstRow="1" w:lastRow="0" w:firstColumn="1" w:lastColumn="0" w:noHBand="0" w:noVBand="1"/>
      </w:tblPr>
      <w:tblGrid>
        <w:gridCol w:w="4870"/>
        <w:gridCol w:w="4870"/>
      </w:tblGrid>
      <w:tr w:rsidR="007D329E" w14:paraId="5337C091" w14:textId="77777777" w:rsidTr="007D329E">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870" w:type="dxa"/>
          </w:tcPr>
          <w:p w14:paraId="57D9DDBE" w14:textId="194CBCF0" w:rsidR="007D329E" w:rsidRPr="007D329E" w:rsidRDefault="007D329E" w:rsidP="007D329E">
            <w:pPr>
              <w:jc w:val="center"/>
            </w:pPr>
            <w:r w:rsidRPr="007D329E">
              <w:t>Component</w:t>
            </w:r>
          </w:p>
        </w:tc>
        <w:tc>
          <w:tcPr>
            <w:tcW w:w="4870" w:type="dxa"/>
          </w:tcPr>
          <w:p w14:paraId="5C1CAD78" w14:textId="024A8A9E" w:rsidR="007D329E" w:rsidRPr="007D329E" w:rsidRDefault="007D329E" w:rsidP="007D329E">
            <w:pPr>
              <w:jc w:val="center"/>
              <w:cnfStyle w:val="100000000000" w:firstRow="1" w:lastRow="0" w:firstColumn="0" w:lastColumn="0" w:oddVBand="0" w:evenVBand="0" w:oddHBand="0" w:evenHBand="0" w:firstRowFirstColumn="0" w:firstRowLastColumn="0" w:lastRowFirstColumn="0" w:lastRowLastColumn="0"/>
            </w:pPr>
            <w:r w:rsidRPr="007D329E">
              <w:t>Volume</w:t>
            </w:r>
          </w:p>
        </w:tc>
      </w:tr>
      <w:tr w:rsidR="007D329E" w14:paraId="0E2B2CD7" w14:textId="77777777" w:rsidTr="007D329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870" w:type="dxa"/>
          </w:tcPr>
          <w:p w14:paraId="1CE34AB4" w14:textId="00B47E88" w:rsidR="007D329E" w:rsidRPr="007D329E" w:rsidRDefault="007D329E" w:rsidP="007D329E">
            <w:pPr>
              <w:jc w:val="center"/>
              <w:rPr>
                <w:b w:val="0"/>
                <w:bCs w:val="0"/>
              </w:rPr>
            </w:pPr>
            <w:r w:rsidRPr="007D329E">
              <w:rPr>
                <w:b w:val="0"/>
                <w:bCs w:val="0"/>
              </w:rPr>
              <w:t>5X PCR buffer</w:t>
            </w:r>
          </w:p>
        </w:tc>
        <w:tc>
          <w:tcPr>
            <w:tcW w:w="4870" w:type="dxa"/>
          </w:tcPr>
          <w:p w14:paraId="56B58E91" w14:textId="6B0A4485" w:rsidR="007D329E" w:rsidRPr="007D329E" w:rsidRDefault="007D329E" w:rsidP="007D329E">
            <w:pPr>
              <w:jc w:val="center"/>
              <w:cnfStyle w:val="000000100000" w:firstRow="0" w:lastRow="0" w:firstColumn="0" w:lastColumn="0" w:oddVBand="0" w:evenVBand="0" w:oddHBand="1" w:evenHBand="0" w:firstRowFirstColumn="0" w:firstRowLastColumn="0" w:lastRowFirstColumn="0" w:lastRowLastColumn="0"/>
            </w:pPr>
            <w:r w:rsidRPr="007D329E">
              <w:t xml:space="preserve">4 </w:t>
            </w:r>
            <w:r w:rsidRPr="007D329E">
              <w:t>µl</w:t>
            </w:r>
          </w:p>
        </w:tc>
      </w:tr>
      <w:tr w:rsidR="007D329E" w14:paraId="7745E676" w14:textId="77777777" w:rsidTr="007D329E">
        <w:trPr>
          <w:trHeight w:val="492"/>
        </w:trPr>
        <w:tc>
          <w:tcPr>
            <w:cnfStyle w:val="001000000000" w:firstRow="0" w:lastRow="0" w:firstColumn="1" w:lastColumn="0" w:oddVBand="0" w:evenVBand="0" w:oddHBand="0" w:evenHBand="0" w:firstRowFirstColumn="0" w:firstRowLastColumn="0" w:lastRowFirstColumn="0" w:lastRowLastColumn="0"/>
            <w:tcW w:w="4870" w:type="dxa"/>
          </w:tcPr>
          <w:p w14:paraId="2963F79E" w14:textId="0AF927D2" w:rsidR="007D329E" w:rsidRPr="007D329E" w:rsidRDefault="007D329E" w:rsidP="007D329E">
            <w:pPr>
              <w:jc w:val="center"/>
              <w:rPr>
                <w:b w:val="0"/>
                <w:bCs w:val="0"/>
              </w:rPr>
            </w:pPr>
            <w:r w:rsidRPr="007D329E">
              <w:rPr>
                <w:b w:val="0"/>
                <w:bCs w:val="0"/>
              </w:rPr>
              <w:t>dNTPs (2.5 mM each)</w:t>
            </w:r>
          </w:p>
        </w:tc>
        <w:tc>
          <w:tcPr>
            <w:tcW w:w="4870" w:type="dxa"/>
          </w:tcPr>
          <w:p w14:paraId="7B1F351F" w14:textId="5BE6EC28" w:rsidR="007D329E" w:rsidRPr="007D329E" w:rsidRDefault="007D329E" w:rsidP="007D329E">
            <w:pPr>
              <w:jc w:val="center"/>
              <w:cnfStyle w:val="000000000000" w:firstRow="0" w:lastRow="0" w:firstColumn="0" w:lastColumn="0" w:oddVBand="0" w:evenVBand="0" w:oddHBand="0" w:evenHBand="0" w:firstRowFirstColumn="0" w:firstRowLastColumn="0" w:lastRowFirstColumn="0" w:lastRowLastColumn="0"/>
            </w:pPr>
            <w:r w:rsidRPr="007D329E">
              <w:t xml:space="preserve">1.6 </w:t>
            </w:r>
            <w:r w:rsidRPr="007D329E">
              <w:t>µl</w:t>
            </w:r>
          </w:p>
        </w:tc>
      </w:tr>
      <w:tr w:rsidR="007D329E" w14:paraId="3CF5FDB0" w14:textId="77777777" w:rsidTr="007D329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870" w:type="dxa"/>
          </w:tcPr>
          <w:p w14:paraId="4FA734FA" w14:textId="0E7C99EC" w:rsidR="007D329E" w:rsidRPr="007D329E" w:rsidRDefault="007D329E" w:rsidP="007D329E">
            <w:pPr>
              <w:jc w:val="center"/>
              <w:rPr>
                <w:b w:val="0"/>
                <w:bCs w:val="0"/>
              </w:rPr>
            </w:pPr>
            <w:r w:rsidRPr="007D329E">
              <w:rPr>
                <w:b w:val="0"/>
                <w:bCs w:val="0"/>
              </w:rPr>
              <w:t xml:space="preserve">Phusion polymerase (2U/ </w:t>
            </w:r>
            <w:r w:rsidRPr="007D329E">
              <w:rPr>
                <w:b w:val="0"/>
                <w:bCs w:val="0"/>
              </w:rPr>
              <w:t>µl</w:t>
            </w:r>
            <w:r w:rsidRPr="007D329E">
              <w:rPr>
                <w:b w:val="0"/>
                <w:bCs w:val="0"/>
              </w:rPr>
              <w:t>)</w:t>
            </w:r>
          </w:p>
        </w:tc>
        <w:tc>
          <w:tcPr>
            <w:tcW w:w="4870" w:type="dxa"/>
          </w:tcPr>
          <w:p w14:paraId="5CA83B40" w14:textId="6521E02E" w:rsidR="007D329E" w:rsidRPr="007D329E" w:rsidRDefault="007D329E" w:rsidP="007D329E">
            <w:pPr>
              <w:jc w:val="center"/>
              <w:cnfStyle w:val="000000100000" w:firstRow="0" w:lastRow="0" w:firstColumn="0" w:lastColumn="0" w:oddVBand="0" w:evenVBand="0" w:oddHBand="1" w:evenHBand="0" w:firstRowFirstColumn="0" w:firstRowLastColumn="0" w:lastRowFirstColumn="0" w:lastRowLastColumn="0"/>
            </w:pPr>
            <w:r w:rsidRPr="007D329E">
              <w:t xml:space="preserve">0.2 </w:t>
            </w:r>
            <w:r w:rsidRPr="007D329E">
              <w:t>µl</w:t>
            </w:r>
          </w:p>
        </w:tc>
      </w:tr>
      <w:tr w:rsidR="007D329E" w14:paraId="7BC15424" w14:textId="77777777" w:rsidTr="007D329E">
        <w:trPr>
          <w:trHeight w:val="519"/>
        </w:trPr>
        <w:tc>
          <w:tcPr>
            <w:cnfStyle w:val="001000000000" w:firstRow="0" w:lastRow="0" w:firstColumn="1" w:lastColumn="0" w:oddVBand="0" w:evenVBand="0" w:oddHBand="0" w:evenHBand="0" w:firstRowFirstColumn="0" w:firstRowLastColumn="0" w:lastRowFirstColumn="0" w:lastRowLastColumn="0"/>
            <w:tcW w:w="4870" w:type="dxa"/>
          </w:tcPr>
          <w:p w14:paraId="441210F2" w14:textId="3728E3A0" w:rsidR="007D329E" w:rsidRPr="007D329E" w:rsidRDefault="007D329E" w:rsidP="007D329E">
            <w:pPr>
              <w:jc w:val="center"/>
              <w:rPr>
                <w:b w:val="0"/>
                <w:bCs w:val="0"/>
              </w:rPr>
            </w:pPr>
            <w:r w:rsidRPr="007D329E">
              <w:rPr>
                <w:b w:val="0"/>
                <w:bCs w:val="0"/>
              </w:rPr>
              <w:t>Nuclease free water</w:t>
            </w:r>
          </w:p>
        </w:tc>
        <w:tc>
          <w:tcPr>
            <w:tcW w:w="4870" w:type="dxa"/>
          </w:tcPr>
          <w:p w14:paraId="0420DCC0" w14:textId="7CCD5988" w:rsidR="007D329E" w:rsidRPr="007D329E" w:rsidRDefault="007D329E" w:rsidP="007D329E">
            <w:pPr>
              <w:jc w:val="center"/>
              <w:cnfStyle w:val="000000000000" w:firstRow="0" w:lastRow="0" w:firstColumn="0" w:lastColumn="0" w:oddVBand="0" w:evenVBand="0" w:oddHBand="0" w:evenHBand="0" w:firstRowFirstColumn="0" w:firstRowLastColumn="0" w:lastRowFirstColumn="0" w:lastRowLastColumn="0"/>
            </w:pPr>
            <w:r w:rsidRPr="007D329E">
              <w:t xml:space="preserve">11 </w:t>
            </w:r>
            <w:r w:rsidRPr="007D329E">
              <w:t>µl</w:t>
            </w:r>
          </w:p>
        </w:tc>
      </w:tr>
      <w:tr w:rsidR="007D329E" w14:paraId="0EE5D73F" w14:textId="77777777" w:rsidTr="007D329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870" w:type="dxa"/>
          </w:tcPr>
          <w:p w14:paraId="42C5D13B" w14:textId="0A8D730E" w:rsidR="007D329E" w:rsidRPr="007D329E" w:rsidRDefault="007D329E" w:rsidP="007D329E">
            <w:pPr>
              <w:jc w:val="center"/>
              <w:rPr>
                <w:b w:val="0"/>
                <w:bCs w:val="0"/>
              </w:rPr>
            </w:pPr>
            <w:r w:rsidRPr="007D329E">
              <w:rPr>
                <w:b w:val="0"/>
                <w:bCs w:val="0"/>
              </w:rPr>
              <w:t xml:space="preserve">Forward Primer (10 </w:t>
            </w:r>
            <w:r w:rsidRPr="007D329E">
              <w:rPr>
                <w:b w:val="0"/>
                <w:bCs w:val="0"/>
              </w:rPr>
              <w:t>µ</w:t>
            </w:r>
            <w:r w:rsidRPr="007D329E">
              <w:rPr>
                <w:b w:val="0"/>
                <w:bCs w:val="0"/>
              </w:rPr>
              <w:t>M)</w:t>
            </w:r>
          </w:p>
        </w:tc>
        <w:tc>
          <w:tcPr>
            <w:tcW w:w="4870" w:type="dxa"/>
          </w:tcPr>
          <w:p w14:paraId="39F88A7E" w14:textId="2CA8B5DA" w:rsidR="007D329E" w:rsidRPr="007D329E" w:rsidRDefault="007D329E" w:rsidP="007D329E">
            <w:pPr>
              <w:jc w:val="center"/>
              <w:cnfStyle w:val="000000100000" w:firstRow="0" w:lastRow="0" w:firstColumn="0" w:lastColumn="0" w:oddVBand="0" w:evenVBand="0" w:oddHBand="1" w:evenHBand="0" w:firstRowFirstColumn="0" w:firstRowLastColumn="0" w:lastRowFirstColumn="0" w:lastRowLastColumn="0"/>
            </w:pPr>
            <w:r w:rsidRPr="007D329E">
              <w:t xml:space="preserve">0.6 </w:t>
            </w:r>
            <w:r w:rsidRPr="007D329E">
              <w:t>µl</w:t>
            </w:r>
          </w:p>
        </w:tc>
      </w:tr>
      <w:tr w:rsidR="007D329E" w14:paraId="21DD966F" w14:textId="77777777" w:rsidTr="007D329E">
        <w:trPr>
          <w:trHeight w:val="492"/>
        </w:trPr>
        <w:tc>
          <w:tcPr>
            <w:cnfStyle w:val="001000000000" w:firstRow="0" w:lastRow="0" w:firstColumn="1" w:lastColumn="0" w:oddVBand="0" w:evenVBand="0" w:oddHBand="0" w:evenHBand="0" w:firstRowFirstColumn="0" w:firstRowLastColumn="0" w:lastRowFirstColumn="0" w:lastRowLastColumn="0"/>
            <w:tcW w:w="4870" w:type="dxa"/>
          </w:tcPr>
          <w:p w14:paraId="227F4CB4" w14:textId="18DB1366" w:rsidR="007D329E" w:rsidRPr="007D329E" w:rsidRDefault="007D329E" w:rsidP="007D329E">
            <w:pPr>
              <w:jc w:val="center"/>
              <w:rPr>
                <w:b w:val="0"/>
                <w:bCs w:val="0"/>
              </w:rPr>
            </w:pPr>
            <w:r w:rsidRPr="007D329E">
              <w:rPr>
                <w:b w:val="0"/>
                <w:bCs w:val="0"/>
              </w:rPr>
              <w:t xml:space="preserve">Reverse Primer (10 </w:t>
            </w:r>
            <w:r w:rsidRPr="007D329E">
              <w:rPr>
                <w:b w:val="0"/>
                <w:bCs w:val="0"/>
              </w:rPr>
              <w:t>µ</w:t>
            </w:r>
            <w:r w:rsidRPr="007D329E">
              <w:rPr>
                <w:b w:val="0"/>
                <w:bCs w:val="0"/>
              </w:rPr>
              <w:t>M)</w:t>
            </w:r>
          </w:p>
        </w:tc>
        <w:tc>
          <w:tcPr>
            <w:tcW w:w="4870" w:type="dxa"/>
          </w:tcPr>
          <w:p w14:paraId="08AE4D71" w14:textId="2D06367A" w:rsidR="007D329E" w:rsidRPr="007D329E" w:rsidRDefault="007D329E" w:rsidP="007D329E">
            <w:pPr>
              <w:jc w:val="center"/>
              <w:cnfStyle w:val="000000000000" w:firstRow="0" w:lastRow="0" w:firstColumn="0" w:lastColumn="0" w:oddVBand="0" w:evenVBand="0" w:oddHBand="0" w:evenHBand="0" w:firstRowFirstColumn="0" w:firstRowLastColumn="0" w:lastRowFirstColumn="0" w:lastRowLastColumn="0"/>
            </w:pPr>
            <w:r w:rsidRPr="007D329E">
              <w:t xml:space="preserve">0.6 </w:t>
            </w:r>
            <w:r w:rsidRPr="007D329E">
              <w:t>µl</w:t>
            </w:r>
          </w:p>
        </w:tc>
      </w:tr>
      <w:tr w:rsidR="007D329E" w14:paraId="52E9D938" w14:textId="77777777" w:rsidTr="007D329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870" w:type="dxa"/>
          </w:tcPr>
          <w:p w14:paraId="1260ED1F" w14:textId="594D3B2E" w:rsidR="007D329E" w:rsidRPr="007D329E" w:rsidRDefault="007D329E" w:rsidP="007D329E">
            <w:pPr>
              <w:jc w:val="center"/>
              <w:rPr>
                <w:b w:val="0"/>
                <w:bCs w:val="0"/>
              </w:rPr>
            </w:pPr>
            <w:r w:rsidRPr="007D329E">
              <w:rPr>
                <w:b w:val="0"/>
                <w:bCs w:val="0"/>
              </w:rPr>
              <w:t>cDNA template</w:t>
            </w:r>
          </w:p>
        </w:tc>
        <w:tc>
          <w:tcPr>
            <w:tcW w:w="4870" w:type="dxa"/>
          </w:tcPr>
          <w:p w14:paraId="2B756D2B" w14:textId="3429C78F" w:rsidR="007D329E" w:rsidRPr="007D329E" w:rsidRDefault="007D329E" w:rsidP="007D329E">
            <w:pPr>
              <w:jc w:val="center"/>
              <w:cnfStyle w:val="000000100000" w:firstRow="0" w:lastRow="0" w:firstColumn="0" w:lastColumn="0" w:oddVBand="0" w:evenVBand="0" w:oddHBand="1" w:evenHBand="0" w:firstRowFirstColumn="0" w:firstRowLastColumn="0" w:lastRowFirstColumn="0" w:lastRowLastColumn="0"/>
            </w:pPr>
            <w:r w:rsidRPr="007D329E">
              <w:t xml:space="preserve">2 </w:t>
            </w:r>
            <w:r w:rsidRPr="007D329E">
              <w:t>µl</w:t>
            </w:r>
            <w:r w:rsidRPr="007D329E">
              <w:t xml:space="preserve"> (50-100ng plasmid)</w:t>
            </w:r>
          </w:p>
        </w:tc>
      </w:tr>
      <w:tr w:rsidR="007D329E" w14:paraId="45026F73" w14:textId="77777777" w:rsidTr="007D329E">
        <w:trPr>
          <w:trHeight w:val="519"/>
        </w:trPr>
        <w:tc>
          <w:tcPr>
            <w:cnfStyle w:val="001000000000" w:firstRow="0" w:lastRow="0" w:firstColumn="1" w:lastColumn="0" w:oddVBand="0" w:evenVBand="0" w:oddHBand="0" w:evenHBand="0" w:firstRowFirstColumn="0" w:firstRowLastColumn="0" w:lastRowFirstColumn="0" w:lastRowLastColumn="0"/>
            <w:tcW w:w="4870" w:type="dxa"/>
          </w:tcPr>
          <w:p w14:paraId="4CE0E482" w14:textId="2766E48D" w:rsidR="007D329E" w:rsidRDefault="007D329E" w:rsidP="007D329E">
            <w:pPr>
              <w:jc w:val="center"/>
            </w:pPr>
            <w:r>
              <w:t>Total Volume</w:t>
            </w:r>
          </w:p>
        </w:tc>
        <w:tc>
          <w:tcPr>
            <w:tcW w:w="4870" w:type="dxa"/>
          </w:tcPr>
          <w:p w14:paraId="6AAB344D" w14:textId="44549606" w:rsidR="007D329E" w:rsidRPr="007D329E" w:rsidRDefault="007D329E" w:rsidP="007D329E">
            <w:pPr>
              <w:jc w:val="center"/>
              <w:cnfStyle w:val="000000000000" w:firstRow="0" w:lastRow="0" w:firstColumn="0" w:lastColumn="0" w:oddVBand="0" w:evenVBand="0" w:oddHBand="0" w:evenHBand="0" w:firstRowFirstColumn="0" w:firstRowLastColumn="0" w:lastRowFirstColumn="0" w:lastRowLastColumn="0"/>
              <w:rPr>
                <w:b/>
                <w:bCs/>
              </w:rPr>
            </w:pPr>
            <w:r w:rsidRPr="007D329E">
              <w:rPr>
                <w:b/>
                <w:bCs/>
              </w:rPr>
              <w:t xml:space="preserve">20 </w:t>
            </w:r>
            <w:r w:rsidRPr="007D329E">
              <w:rPr>
                <w:b/>
                <w:bCs/>
              </w:rPr>
              <w:t>µl</w:t>
            </w:r>
          </w:p>
        </w:tc>
      </w:tr>
    </w:tbl>
    <w:p w14:paraId="49C30520" w14:textId="77777777" w:rsidR="007D329E" w:rsidRDefault="007D329E" w:rsidP="005F5A59">
      <w:pPr>
        <w:spacing w:after="0"/>
        <w:ind w:left="360"/>
      </w:pPr>
    </w:p>
    <w:p w14:paraId="1D23697E" w14:textId="17163384" w:rsidR="005F5A59" w:rsidRDefault="00773EDE" w:rsidP="005F5A59">
      <w:pPr>
        <w:spacing w:after="0"/>
        <w:ind w:left="360"/>
      </w:pPr>
      <w:r>
        <w:t>All of the components should be kept on ice. When setting up multiple reactions, a master mix can be prepared without cDNA template or primers. After aliquoting the master mix, the cDNA template and primers can be added individually to each tube.</w:t>
      </w:r>
    </w:p>
    <w:p w14:paraId="65CACD94" w14:textId="7F6EB381" w:rsidR="005F5A59" w:rsidRDefault="007D329E" w:rsidP="005F5A59">
      <w:pPr>
        <w:spacing w:after="0"/>
        <w:ind w:left="360"/>
      </w:pPr>
      <w:r>
        <w:rPr>
          <w:b/>
          <w:bCs/>
        </w:rPr>
        <w:t>P</w:t>
      </w:r>
      <w:r w:rsidR="00773EDE" w:rsidRPr="00B312B7">
        <w:rPr>
          <w:b/>
          <w:bCs/>
        </w:rPr>
        <w:t>CR cycling conditions</w:t>
      </w:r>
      <w:r w:rsidR="00773EDE">
        <w:t xml:space="preserve">: </w:t>
      </w:r>
    </w:p>
    <w:p w14:paraId="3EE5771C" w14:textId="77777777" w:rsidR="00B312B7" w:rsidRDefault="00773EDE" w:rsidP="005F5A59">
      <w:pPr>
        <w:spacing w:after="0"/>
        <w:ind w:left="360"/>
      </w:pPr>
      <w:r>
        <w:t xml:space="preserve">The optimum Tm for annealing should be 55-60°C. The extension time depends upon the length of the ORF. The following program is generally used for ORFs from 500 bp-4000 bp. </w:t>
      </w:r>
    </w:p>
    <w:p w14:paraId="0C3FCD70" w14:textId="77777777" w:rsidR="00B312B7" w:rsidRDefault="00B312B7" w:rsidP="005F5A59">
      <w:pPr>
        <w:spacing w:after="0"/>
        <w:ind w:left="360"/>
      </w:pPr>
    </w:p>
    <w:p w14:paraId="2348F286" w14:textId="1B9C4283" w:rsidR="007D329E" w:rsidRDefault="00773EDE" w:rsidP="005F5A59">
      <w:pPr>
        <w:spacing w:after="0"/>
        <w:ind w:left="360"/>
      </w:pPr>
      <w:r>
        <w:t>1 cycle of</w:t>
      </w:r>
      <w:r w:rsidR="00C15E9C">
        <w:tab/>
      </w:r>
      <w:r>
        <w:t xml:space="preserve"> 95</w:t>
      </w:r>
      <w:r w:rsidR="00C15E9C">
        <w:t xml:space="preserve">  ͦ </w:t>
      </w:r>
      <w:r>
        <w:t xml:space="preserve">C 1 min </w:t>
      </w:r>
    </w:p>
    <w:p w14:paraId="73365C32" w14:textId="54B05C2D" w:rsidR="007D329E" w:rsidRDefault="00773EDE" w:rsidP="005F5A59">
      <w:pPr>
        <w:spacing w:after="0"/>
        <w:ind w:left="360"/>
      </w:pPr>
      <w:r>
        <w:t>2 cycles of</w:t>
      </w:r>
      <w:r w:rsidR="00C15E9C">
        <w:tab/>
      </w:r>
      <w:r>
        <w:t xml:space="preserve"> 95</w:t>
      </w:r>
      <w:r w:rsidR="00C15E9C">
        <w:t xml:space="preserve"> </w:t>
      </w:r>
      <w:r w:rsidR="00C15E9C">
        <w:t xml:space="preserve"> ͦ </w:t>
      </w:r>
      <w:r>
        <w:t xml:space="preserve">C 10 sec </w:t>
      </w:r>
    </w:p>
    <w:p w14:paraId="383CA580" w14:textId="4B1B6085" w:rsidR="007D329E" w:rsidRDefault="00C15E9C" w:rsidP="005F5A59">
      <w:pPr>
        <w:spacing w:after="0"/>
        <w:ind w:left="360"/>
      </w:pPr>
      <w:r>
        <w:t xml:space="preserve">                  </w:t>
      </w:r>
      <w:r>
        <w:tab/>
        <w:t xml:space="preserve"> </w:t>
      </w:r>
      <w:r w:rsidR="00773EDE">
        <w:t>62</w:t>
      </w:r>
      <w:r>
        <w:t xml:space="preserve"> </w:t>
      </w:r>
      <w:r>
        <w:t xml:space="preserve"> ͦ </w:t>
      </w:r>
      <w:r w:rsidR="00773EDE">
        <w:t xml:space="preserve">C 20 sec </w:t>
      </w:r>
    </w:p>
    <w:p w14:paraId="3C955039" w14:textId="05EC9112" w:rsidR="007D329E" w:rsidRDefault="00C15E9C" w:rsidP="00C15E9C">
      <w:pPr>
        <w:spacing w:after="0"/>
        <w:ind w:left="1080" w:firstLine="360"/>
      </w:pPr>
      <w:r>
        <w:t xml:space="preserve"> 72 ͦ</w:t>
      </w:r>
      <w:r>
        <w:t xml:space="preserve"> </w:t>
      </w:r>
      <w:r w:rsidR="00773EDE">
        <w:t xml:space="preserve">C 4 min </w:t>
      </w:r>
    </w:p>
    <w:p w14:paraId="31E683E9" w14:textId="2A22A405" w:rsidR="00C15E9C" w:rsidRDefault="00773EDE" w:rsidP="005F5A59">
      <w:pPr>
        <w:spacing w:after="0"/>
        <w:ind w:left="360"/>
      </w:pPr>
      <w:r>
        <w:t>2 cycles of</w:t>
      </w:r>
      <w:r w:rsidR="00C15E9C">
        <w:t xml:space="preserve">    95 ͦ</w:t>
      </w:r>
      <w:r w:rsidR="00C15E9C">
        <w:t xml:space="preserve"> </w:t>
      </w:r>
      <w:r>
        <w:t xml:space="preserve">C 10 sec </w:t>
      </w:r>
    </w:p>
    <w:p w14:paraId="2B0C23D1" w14:textId="72F1B2CD" w:rsidR="00C15E9C" w:rsidRDefault="00C15E9C" w:rsidP="00C15E9C">
      <w:pPr>
        <w:spacing w:after="0"/>
        <w:ind w:left="1080" w:firstLine="360"/>
      </w:pPr>
      <w:r>
        <w:t xml:space="preserve"> 60 ͦ</w:t>
      </w:r>
      <w:r>
        <w:t xml:space="preserve"> </w:t>
      </w:r>
      <w:r w:rsidR="00773EDE">
        <w:t xml:space="preserve">C 20 sec </w:t>
      </w:r>
    </w:p>
    <w:p w14:paraId="194AB038" w14:textId="287E4224" w:rsidR="007D329E" w:rsidRDefault="00C15E9C" w:rsidP="00C15E9C">
      <w:pPr>
        <w:spacing w:after="0"/>
        <w:ind w:left="720" w:firstLine="720"/>
      </w:pPr>
      <w:r>
        <w:t xml:space="preserve"> 72 ͦ</w:t>
      </w:r>
      <w:r>
        <w:t xml:space="preserve"> </w:t>
      </w:r>
      <w:r w:rsidR="00773EDE">
        <w:t xml:space="preserve">C 4 min </w:t>
      </w:r>
    </w:p>
    <w:p w14:paraId="663B9ECA" w14:textId="5722ADA5" w:rsidR="00C15E9C" w:rsidRDefault="00773EDE" w:rsidP="005F5A59">
      <w:pPr>
        <w:spacing w:after="0"/>
        <w:ind w:left="360"/>
      </w:pPr>
      <w:r>
        <w:t xml:space="preserve">2 cycles of </w:t>
      </w:r>
      <w:r w:rsidR="00C15E9C">
        <w:t xml:space="preserve">   95 ͦ</w:t>
      </w:r>
      <w:r w:rsidR="00C15E9C">
        <w:t xml:space="preserve"> </w:t>
      </w:r>
      <w:r>
        <w:t xml:space="preserve">C 10 sec </w:t>
      </w:r>
    </w:p>
    <w:p w14:paraId="0DDC8A35" w14:textId="3DAF150E" w:rsidR="00C15E9C" w:rsidRDefault="00C15E9C" w:rsidP="00C15E9C">
      <w:pPr>
        <w:spacing w:after="0"/>
        <w:ind w:left="720" w:firstLine="720"/>
      </w:pPr>
      <w:r>
        <w:t xml:space="preserve"> 58 ͦ</w:t>
      </w:r>
      <w:r>
        <w:t xml:space="preserve"> </w:t>
      </w:r>
      <w:r w:rsidR="00773EDE">
        <w:t xml:space="preserve">C 20 sec </w:t>
      </w:r>
    </w:p>
    <w:p w14:paraId="649720A8" w14:textId="3E1DF99F" w:rsidR="007D329E" w:rsidRDefault="00C15E9C" w:rsidP="00C15E9C">
      <w:pPr>
        <w:spacing w:after="0"/>
        <w:ind w:left="1440"/>
      </w:pPr>
      <w:r>
        <w:t xml:space="preserve"> 72 ͦ</w:t>
      </w:r>
      <w:r>
        <w:t xml:space="preserve"> </w:t>
      </w:r>
      <w:r w:rsidR="00773EDE">
        <w:t>C 4 min</w:t>
      </w:r>
    </w:p>
    <w:p w14:paraId="2AB794DE" w14:textId="3D6565BF" w:rsidR="00C15E9C" w:rsidRDefault="00773EDE" w:rsidP="005F5A59">
      <w:pPr>
        <w:spacing w:after="0"/>
        <w:ind w:left="360"/>
      </w:pPr>
      <w:r>
        <w:t xml:space="preserve">15 cycles of </w:t>
      </w:r>
      <w:r w:rsidR="00C15E9C">
        <w:t xml:space="preserve"> 95 ͦ</w:t>
      </w:r>
      <w:r w:rsidR="00C15E9C">
        <w:t xml:space="preserve"> </w:t>
      </w:r>
      <w:r>
        <w:t>C 10 sec</w:t>
      </w:r>
    </w:p>
    <w:p w14:paraId="4FCD3D53" w14:textId="75FD3337" w:rsidR="00C15E9C" w:rsidRDefault="00773EDE" w:rsidP="005F5A59">
      <w:pPr>
        <w:spacing w:after="0"/>
        <w:ind w:left="360"/>
      </w:pPr>
      <w:r>
        <w:t xml:space="preserve"> </w:t>
      </w:r>
      <w:r w:rsidR="00C15E9C">
        <w:tab/>
      </w:r>
      <w:r w:rsidR="00C15E9C">
        <w:tab/>
        <w:t xml:space="preserve"> 56 ͦ</w:t>
      </w:r>
      <w:r w:rsidR="00C15E9C">
        <w:t xml:space="preserve"> </w:t>
      </w:r>
      <w:r>
        <w:t>C 20 sec</w:t>
      </w:r>
    </w:p>
    <w:p w14:paraId="406B4413" w14:textId="7EB5B6CE" w:rsidR="007D329E" w:rsidRDefault="00773EDE" w:rsidP="005F5A59">
      <w:pPr>
        <w:spacing w:after="0"/>
        <w:ind w:left="360"/>
      </w:pPr>
      <w:r>
        <w:t xml:space="preserve"> </w:t>
      </w:r>
      <w:r w:rsidR="00C15E9C">
        <w:tab/>
      </w:r>
      <w:r w:rsidR="00C15E9C">
        <w:tab/>
        <w:t xml:space="preserve"> 72 ͦ</w:t>
      </w:r>
      <w:r w:rsidR="00C15E9C">
        <w:t xml:space="preserve"> </w:t>
      </w:r>
      <w:r>
        <w:t>C 4 min</w:t>
      </w:r>
    </w:p>
    <w:p w14:paraId="451AACB6" w14:textId="2D902B02" w:rsidR="007D329E" w:rsidRDefault="00773EDE" w:rsidP="005F5A59">
      <w:pPr>
        <w:spacing w:after="0"/>
        <w:ind w:left="360"/>
      </w:pPr>
      <w:r>
        <w:t xml:space="preserve">Final extension 72oC 10 min </w:t>
      </w:r>
      <w:r w:rsidR="00C15E9C">
        <w:t>4 ͦ</w:t>
      </w:r>
      <w:r w:rsidR="00C15E9C">
        <w:t xml:space="preserve"> </w:t>
      </w:r>
      <w:r>
        <w:t xml:space="preserve">C hold </w:t>
      </w:r>
    </w:p>
    <w:p w14:paraId="322110A3" w14:textId="77777777" w:rsidR="007D329E" w:rsidRDefault="007D329E" w:rsidP="005F5A59">
      <w:pPr>
        <w:spacing w:after="0"/>
        <w:ind w:left="360"/>
      </w:pPr>
    </w:p>
    <w:p w14:paraId="00F29A50" w14:textId="570ECB27" w:rsidR="00B312B7" w:rsidRDefault="00B312B7" w:rsidP="005F5A59">
      <w:pPr>
        <w:spacing w:after="0"/>
        <w:ind w:left="360"/>
      </w:pPr>
    </w:p>
    <w:p w14:paraId="6D946D42" w14:textId="723071DD" w:rsidR="00FB3D28" w:rsidRDefault="00FB3D28" w:rsidP="005F5A59">
      <w:pPr>
        <w:spacing w:after="0"/>
        <w:ind w:left="360"/>
      </w:pPr>
    </w:p>
    <w:p w14:paraId="478D12E9" w14:textId="0A1B5694" w:rsidR="00FB3D28" w:rsidRDefault="00FB3D28" w:rsidP="005F5A59">
      <w:pPr>
        <w:spacing w:after="0"/>
        <w:ind w:left="360"/>
      </w:pPr>
    </w:p>
    <w:p w14:paraId="55D52EC0" w14:textId="77777777" w:rsidR="00FB3D28" w:rsidRDefault="00FB3D28" w:rsidP="005F5A59">
      <w:pPr>
        <w:spacing w:after="0"/>
        <w:ind w:left="360"/>
      </w:pPr>
      <w:bookmarkStart w:id="0" w:name="_GoBack"/>
      <w:bookmarkEnd w:id="0"/>
    </w:p>
    <w:p w14:paraId="4647CE0B" w14:textId="4BB86592" w:rsidR="00773EDE" w:rsidRPr="00B312B7" w:rsidRDefault="00773EDE" w:rsidP="00AE7BB4">
      <w:pPr>
        <w:rPr>
          <w:b/>
          <w:bCs/>
        </w:rPr>
      </w:pPr>
      <w:r w:rsidRPr="00B312B7">
        <w:rPr>
          <w:b/>
          <w:bCs/>
        </w:rPr>
        <w:lastRenderedPageBreak/>
        <w:t xml:space="preserve"> Induction and expression testing </w:t>
      </w:r>
    </w:p>
    <w:p w14:paraId="7C4EA481" w14:textId="7009E29F" w:rsidR="00773EDE" w:rsidRDefault="00773EDE" w:rsidP="00AE7BB4">
      <w:r>
        <w:t>Tet-OFF system can be induced by both tetracycline and doxycycline, but the Tet-ON system only responds to the doxycycline (Dox), not tetracycline (</w:t>
      </w:r>
      <w:proofErr w:type="spellStart"/>
      <w:r>
        <w:t>Gossen</w:t>
      </w:r>
      <w:proofErr w:type="spellEnd"/>
      <w:r>
        <w:t xml:space="preserve"> &amp; </w:t>
      </w:r>
      <w:proofErr w:type="spellStart"/>
      <w:r>
        <w:t>Bujard</w:t>
      </w:r>
      <w:proofErr w:type="spellEnd"/>
      <w:r>
        <w:t xml:space="preserve">, 1995). </w:t>
      </w:r>
      <w:proofErr w:type="gramStart"/>
      <w:r>
        <w:t>Also</w:t>
      </w:r>
      <w:proofErr w:type="gramEnd"/>
      <w:r>
        <w:t xml:space="preserve"> doxycycline is more stable in the culture medium (48 hours versus 24 hours for tetracycline) and appears to be more potent than tetracycline. In vitro 0.01–1.0 µg/ml of Dox has been shown to induce Tet-ON expression within 48 hours. Titration of different Dox concentration, as well as determination of the optimum incubation period to achieve maximal expression, is recommended for each individual target gene. </w:t>
      </w:r>
    </w:p>
    <w:p w14:paraId="0C6416FB" w14:textId="76D24930" w:rsidR="00773EDE" w:rsidRDefault="00773EDE" w:rsidP="00AE7BB4">
      <w:r>
        <w:t xml:space="preserve">Here, we describe a protocol to test our Tet-On systems (CAT# PS100124 and PS100125). Our test was conducted on HEK 293 cells, however, when using different cell lines, we recommend using this protocol as a reference while taking into consideration cell culture requirements, transfection method, etc., that are appropriate to the host cell line you will be experimenting on. </w:t>
      </w:r>
    </w:p>
    <w:p w14:paraId="4D763B67" w14:textId="4EED9B1A" w:rsidR="00773EDE" w:rsidRDefault="00773EDE" w:rsidP="00B312B7">
      <w:pPr>
        <w:spacing w:after="0"/>
      </w:pPr>
      <w:r>
        <w:t>1. 24 h prior to transfection, 3x104 HEK293 cells/well were seeded on to a 96 well plate in growth media consisting of DMEM supplemented with antibiotics and 10% FBS.</w:t>
      </w:r>
    </w:p>
    <w:p w14:paraId="4571865A" w14:textId="77777777" w:rsidR="00773EDE" w:rsidRDefault="00773EDE" w:rsidP="00B312B7">
      <w:pPr>
        <w:spacing w:after="0"/>
      </w:pPr>
      <w:r>
        <w:t xml:space="preserve"> 2. On the following day, cells were transfected with 0.2 ug of Tet-ON vector (Cat#PS100125) per well using </w:t>
      </w:r>
      <w:proofErr w:type="spellStart"/>
      <w:r>
        <w:t>Turbofectin</w:t>
      </w:r>
      <w:proofErr w:type="spellEnd"/>
      <w:r>
        <w:t xml:space="preserve"> transfection reagent (TF81001, OTI) at 1:3 ratio (</w:t>
      </w:r>
      <w:proofErr w:type="spellStart"/>
      <w:proofErr w:type="gramStart"/>
      <w:r>
        <w:t>DNA:Turbofectin</w:t>
      </w:r>
      <w:proofErr w:type="spellEnd"/>
      <w:proofErr w:type="gramEnd"/>
      <w:r>
        <w:t xml:space="preserve"> reagent). </w:t>
      </w:r>
    </w:p>
    <w:p w14:paraId="29AF8E2A" w14:textId="77777777" w:rsidR="00773EDE" w:rsidRDefault="00773EDE" w:rsidP="00B312B7">
      <w:pPr>
        <w:spacing w:after="0"/>
      </w:pPr>
      <w:r>
        <w:t xml:space="preserve">3. 24 h post transfection 4 different dosages of Dox (NC0424034, Fisher Scientific) was tested by adding 0.01, 0.1, 1.0, and 10 (ug/ml) in duplicate wells for each dosage respectively. </w:t>
      </w:r>
      <w:proofErr w:type="spellStart"/>
      <w:r>
        <w:t>Doxuntreated</w:t>
      </w:r>
      <w:proofErr w:type="spellEnd"/>
      <w:r>
        <w:t xml:space="preserve"> wells served as control. </w:t>
      </w:r>
    </w:p>
    <w:p w14:paraId="1EAB63FA" w14:textId="2F3BF194" w:rsidR="00773EDE" w:rsidRDefault="00773EDE" w:rsidP="00B312B7">
      <w:pPr>
        <w:spacing w:after="0"/>
      </w:pPr>
      <w:r>
        <w:t xml:space="preserve">4. Post treatment with Dox, Tet-On induced GFP fluorescence in cells was scanned with a fluorescence plate reader on three consecutive days (in case of CAT# PS100124, perform IHC on the transfected cells with Anti-DDK antibody and assay for </w:t>
      </w:r>
      <w:proofErr w:type="spellStart"/>
      <w:r>
        <w:t>myc</w:t>
      </w:r>
      <w:proofErr w:type="spellEnd"/>
      <w:r>
        <w:t>-DDK tag expression). Raw florescence readouts expressed in arbitrary units (</w:t>
      </w:r>
      <w:proofErr w:type="spellStart"/>
      <w:r>
        <w:t>a.u</w:t>
      </w:r>
      <w:proofErr w:type="spellEnd"/>
      <w:r>
        <w:t xml:space="preserve">.) for each dosage of Dox treatment was compared to the control group (Dox-untreated) to determine the induction efficiency of our </w:t>
      </w:r>
      <w:proofErr w:type="spellStart"/>
      <w:r>
        <w:t>TetON</w:t>
      </w:r>
      <w:proofErr w:type="spellEnd"/>
      <w:r>
        <w:t xml:space="preserve"> system (CAT# PS100125).</w:t>
      </w:r>
    </w:p>
    <w:sectPr w:rsidR="0077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6067"/>
    <w:multiLevelType w:val="hybridMultilevel"/>
    <w:tmpl w:val="A70E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F7971"/>
    <w:multiLevelType w:val="hybridMultilevel"/>
    <w:tmpl w:val="50C40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9A501A"/>
    <w:multiLevelType w:val="hybridMultilevel"/>
    <w:tmpl w:val="95D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26"/>
    <w:rsid w:val="000944B2"/>
    <w:rsid w:val="000C08EF"/>
    <w:rsid w:val="00337146"/>
    <w:rsid w:val="00514CCD"/>
    <w:rsid w:val="005F5A59"/>
    <w:rsid w:val="00773EDE"/>
    <w:rsid w:val="007D329E"/>
    <w:rsid w:val="008568F5"/>
    <w:rsid w:val="008809EA"/>
    <w:rsid w:val="00975B26"/>
    <w:rsid w:val="00A97110"/>
    <w:rsid w:val="00AE7BB4"/>
    <w:rsid w:val="00AF0BA4"/>
    <w:rsid w:val="00B312B7"/>
    <w:rsid w:val="00C15E9C"/>
    <w:rsid w:val="00CF2417"/>
    <w:rsid w:val="00D00111"/>
    <w:rsid w:val="00D4038C"/>
    <w:rsid w:val="00D72CFA"/>
    <w:rsid w:val="00E43D79"/>
    <w:rsid w:val="00FB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44A4"/>
  <w15:chartTrackingRefBased/>
  <w15:docId w15:val="{1247FBDE-9B30-4205-B1E3-03DBA022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B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FA"/>
    <w:pPr>
      <w:ind w:left="720"/>
      <w:contextualSpacing/>
    </w:pPr>
  </w:style>
  <w:style w:type="character" w:customStyle="1" w:styleId="Heading1Char">
    <w:name w:val="Heading 1 Char"/>
    <w:basedOn w:val="DefaultParagraphFont"/>
    <w:link w:val="Heading1"/>
    <w:uiPriority w:val="9"/>
    <w:rsid w:val="00AF0BA4"/>
    <w:rPr>
      <w:rFonts w:ascii="Times New Roman" w:eastAsia="Times New Roman" w:hAnsi="Times New Roman" w:cs="Times New Roman"/>
      <w:b/>
      <w:bCs/>
      <w:kern w:val="36"/>
      <w:sz w:val="48"/>
      <w:szCs w:val="48"/>
    </w:rPr>
  </w:style>
  <w:style w:type="table" w:styleId="TableGrid">
    <w:name w:val="Table Grid"/>
    <w:basedOn w:val="TableNormal"/>
    <w:uiPriority w:val="39"/>
    <w:rsid w:val="00D0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D0011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4418">
      <w:bodyDiv w:val="1"/>
      <w:marLeft w:val="0"/>
      <w:marRight w:val="0"/>
      <w:marTop w:val="0"/>
      <w:marBottom w:val="0"/>
      <w:divBdr>
        <w:top w:val="none" w:sz="0" w:space="0" w:color="auto"/>
        <w:left w:val="none" w:sz="0" w:space="0" w:color="auto"/>
        <w:bottom w:val="none" w:sz="0" w:space="0" w:color="auto"/>
        <w:right w:val="none" w:sz="0" w:space="0" w:color="auto"/>
      </w:divBdr>
    </w:div>
    <w:div w:id="16427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Sourav Jaiswal</dc:creator>
  <cp:keywords/>
  <dc:description/>
  <cp:lastModifiedBy>Sourav Jaiswal</cp:lastModifiedBy>
  <cp:revision>8</cp:revision>
  <dcterms:created xsi:type="dcterms:W3CDTF">2021-07-20T13:21:00Z</dcterms:created>
  <dcterms:modified xsi:type="dcterms:W3CDTF">2021-07-29T13:55:00Z</dcterms:modified>
</cp:coreProperties>
</file>